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2918"/>
        <w:gridCol w:w="6147"/>
      </w:tblGrid>
      <w:tr w:rsidR="00065F50" w:rsidRPr="003D1525" w14:paraId="7EF6DD4B" w14:textId="77777777" w:rsidTr="0097554B">
        <w:tc>
          <w:tcPr>
            <w:tcW w:w="2918" w:type="dxa"/>
          </w:tcPr>
          <w:p w14:paraId="288B8F74" w14:textId="77777777" w:rsidR="00065F50" w:rsidRPr="003D1525" w:rsidRDefault="00065F50" w:rsidP="0097554B">
            <w:pPr>
              <w:spacing w:before="120"/>
              <w:jc w:val="center"/>
              <w:rPr>
                <w:rFonts w:eastAsia="Times New Roman" w:cs="Times New Roman"/>
                <w:b/>
                <w:szCs w:val="28"/>
              </w:rPr>
            </w:pPr>
            <w:r>
              <w:rPr>
                <w:rFonts w:eastAsia="Times New Roman" w:cs="Times New Roman"/>
                <w:b/>
                <w:szCs w:val="28"/>
              </w:rPr>
              <w:t>CHÍNH PHỦ</w:t>
            </w:r>
            <w:r>
              <w:rPr>
                <w:rFonts w:eastAsia="Times New Roman" w:cs="Times New Roman"/>
                <w:b/>
                <w:szCs w:val="28"/>
              </w:rPr>
              <w:br/>
            </w:r>
          </w:p>
        </w:tc>
        <w:tc>
          <w:tcPr>
            <w:tcW w:w="6147" w:type="dxa"/>
          </w:tcPr>
          <w:p w14:paraId="0D0B20D2" w14:textId="77777777" w:rsidR="00065F50" w:rsidRPr="003D1525" w:rsidRDefault="00065F50" w:rsidP="0097554B">
            <w:pPr>
              <w:spacing w:before="120"/>
              <w:jc w:val="center"/>
              <w:rPr>
                <w:rFonts w:eastAsia="Times New Roman" w:cs="Times New Roman"/>
                <w:szCs w:val="28"/>
              </w:rPr>
            </w:pPr>
            <w:r>
              <w:rPr>
                <w:rFonts w:eastAsia="Times New Roman" w:cs="Times New Roman"/>
                <w:b/>
                <w:noProof/>
                <w:sz w:val="26"/>
                <w:szCs w:val="26"/>
              </w:rPr>
              <mc:AlternateContent>
                <mc:Choice Requires="wps">
                  <w:drawing>
                    <wp:anchor distT="0" distB="0" distL="114300" distR="114300" simplePos="0" relativeHeight="251659264" behindDoc="0" locked="0" layoutInCell="1" allowOverlap="1" wp14:anchorId="2C63A82E" wp14:editId="0637C295">
                      <wp:simplePos x="0" y="0"/>
                      <wp:positionH relativeFrom="column">
                        <wp:posOffset>821690</wp:posOffset>
                      </wp:positionH>
                      <wp:positionV relativeFrom="paragraph">
                        <wp:posOffset>539750</wp:posOffset>
                      </wp:positionV>
                      <wp:extent cx="2057400" cy="0"/>
                      <wp:effectExtent l="0" t="0" r="25400" b="25400"/>
                      <wp:wrapNone/>
                      <wp:docPr id="1" name="Straight Connector 1"/>
                      <wp:cNvGraphicFramePr/>
                      <a:graphic xmlns:a="http://schemas.openxmlformats.org/drawingml/2006/main">
                        <a:graphicData uri="http://schemas.microsoft.com/office/word/2010/wordprocessingShape">
                          <wps:wsp>
                            <wps:cNvCnPr/>
                            <wps:spPr>
                              <a:xfrm>
                                <a:off x="0" y="0"/>
                                <a:ext cx="2057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mv="urn:schemas-microsoft-com:mac:vml" xmlns:mo="http://schemas.microsoft.com/office/mac/office/2008/main">
                  <w:pict>
                    <v:line w14:anchorId="36B099F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7pt,42.5pt" to="226.7pt,4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" strokecolor="black [3200]" strokeweight=".5pt">
                      <v:stroke joinstyle="miter"/>
                    </v:line>
                  </w:pict>
                </mc:Fallback>
              </mc:AlternateContent>
            </w:r>
            <w:r w:rsidRPr="003D1525">
              <w:rPr>
                <w:rFonts w:eastAsia="Times New Roman" w:cs="Times New Roman"/>
                <w:b/>
                <w:sz w:val="26"/>
                <w:szCs w:val="26"/>
              </w:rPr>
              <w:t>CỘNG HÒA XÃ HỘI CHỦ NGHĨA VIỆT NAM</w:t>
            </w:r>
            <w:r>
              <w:rPr>
                <w:rFonts w:eastAsia="Times New Roman" w:cs="Times New Roman"/>
                <w:b/>
                <w:szCs w:val="28"/>
              </w:rPr>
              <w:br/>
              <w:t xml:space="preserve">Độc lập - Tự do - Hạnh phúc </w:t>
            </w:r>
            <w:r>
              <w:rPr>
                <w:rFonts w:eastAsia="Times New Roman" w:cs="Times New Roman"/>
                <w:b/>
                <w:szCs w:val="28"/>
              </w:rPr>
              <w:br/>
            </w:r>
          </w:p>
        </w:tc>
      </w:tr>
      <w:tr w:rsidR="00065F50" w:rsidRPr="003D1525" w14:paraId="467DA5E0" w14:textId="77777777" w:rsidTr="0097554B">
        <w:tc>
          <w:tcPr>
            <w:tcW w:w="2918" w:type="dxa"/>
          </w:tcPr>
          <w:p w14:paraId="5F94919C" w14:textId="77777777" w:rsidR="00065F50" w:rsidRPr="003D1525" w:rsidRDefault="00065F50" w:rsidP="0097554B">
            <w:pPr>
              <w:spacing w:before="120"/>
              <w:jc w:val="center"/>
              <w:rPr>
                <w:rFonts w:eastAsia="Times New Roman" w:cs="Times New Roman"/>
                <w:szCs w:val="28"/>
              </w:rPr>
            </w:pPr>
            <w:r>
              <w:rPr>
                <w:rFonts w:eastAsia="Times New Roman" w:cs="Times New Roman"/>
                <w:szCs w:val="28"/>
              </w:rPr>
              <w:t>Số:           /2019</w:t>
            </w:r>
            <w:r w:rsidRPr="003D1525">
              <w:rPr>
                <w:rFonts w:eastAsia="Times New Roman" w:cs="Times New Roman"/>
                <w:szCs w:val="28"/>
              </w:rPr>
              <w:t>/NĐ-CP</w:t>
            </w:r>
          </w:p>
        </w:tc>
        <w:tc>
          <w:tcPr>
            <w:tcW w:w="6147" w:type="dxa"/>
          </w:tcPr>
          <w:p w14:paraId="61A3082E" w14:textId="77777777" w:rsidR="00065F50" w:rsidRPr="003D1525" w:rsidRDefault="00065F50" w:rsidP="0097554B">
            <w:pPr>
              <w:spacing w:before="120"/>
              <w:jc w:val="right"/>
              <w:rPr>
                <w:rFonts w:eastAsia="Times New Roman" w:cs="Times New Roman"/>
                <w:i/>
                <w:szCs w:val="28"/>
              </w:rPr>
            </w:pPr>
            <w:r w:rsidRPr="003D1525">
              <w:rPr>
                <w:rFonts w:eastAsia="Times New Roman" w:cs="Times New Roman"/>
                <w:i/>
                <w:szCs w:val="28"/>
              </w:rPr>
              <w:t xml:space="preserve">Hà Nội, ngày </w:t>
            </w:r>
            <w:r>
              <w:rPr>
                <w:rFonts w:eastAsia="Times New Roman" w:cs="Times New Roman"/>
                <w:i/>
                <w:szCs w:val="28"/>
              </w:rPr>
              <w:t xml:space="preserve">     </w:t>
            </w:r>
            <w:r w:rsidRPr="003D1525">
              <w:rPr>
                <w:rFonts w:eastAsia="Times New Roman" w:cs="Times New Roman"/>
                <w:i/>
                <w:szCs w:val="28"/>
              </w:rPr>
              <w:t xml:space="preserve"> tháng </w:t>
            </w:r>
            <w:r>
              <w:rPr>
                <w:rFonts w:eastAsia="Times New Roman" w:cs="Times New Roman"/>
                <w:i/>
                <w:szCs w:val="28"/>
              </w:rPr>
              <w:t xml:space="preserve">      năm 2019</w:t>
            </w:r>
          </w:p>
        </w:tc>
      </w:tr>
    </w:tbl>
    <w:p w14:paraId="5D51620F" w14:textId="77777777" w:rsidR="00065F50" w:rsidRPr="003D1525" w:rsidRDefault="00065F50" w:rsidP="00065F50">
      <w:pPr>
        <w:spacing w:before="120"/>
        <w:rPr>
          <w:rFonts w:cs="Times New Roman"/>
          <w:szCs w:val="28"/>
        </w:rPr>
      </w:pPr>
      <w:r w:rsidRPr="008F5A11">
        <w:rPr>
          <w:noProof/>
          <w:color w:val="000000" w:themeColor="text1"/>
        </w:rPr>
        <mc:AlternateContent>
          <mc:Choice Requires="wps">
            <w:drawing>
              <wp:anchor distT="0" distB="0" distL="114300" distR="114300" simplePos="0" relativeHeight="251661312" behindDoc="0" locked="0" layoutInCell="1" allowOverlap="1" wp14:anchorId="1FB4D76F" wp14:editId="77B99330">
                <wp:simplePos x="0" y="0"/>
                <wp:positionH relativeFrom="column">
                  <wp:posOffset>231373</wp:posOffset>
                </wp:positionH>
                <wp:positionV relativeFrom="paragraph">
                  <wp:posOffset>155814</wp:posOffset>
                </wp:positionV>
                <wp:extent cx="1184910" cy="314325"/>
                <wp:effectExtent l="0" t="0" r="34290" b="1587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4910" cy="314325"/>
                        </a:xfrm>
                        <a:prstGeom prst="rect">
                          <a:avLst/>
                        </a:prstGeom>
                        <a:solidFill>
                          <a:sysClr val="window" lastClr="FFFFFF"/>
                        </a:solidFill>
                        <a:ln w="6350">
                          <a:solidFill>
                            <a:prstClr val="black"/>
                          </a:solidFill>
                        </a:ln>
                        <a:effectLst/>
                      </wps:spPr>
                      <wps:txbx>
                        <w:txbxContent>
                          <w:p w14:paraId="6736F1BC" w14:textId="77777777" w:rsidR="00065F50" w:rsidRPr="00CA714F" w:rsidRDefault="00065F50" w:rsidP="00065F50">
                            <w:pPr>
                              <w:jc w:val="center"/>
                              <w:rPr>
                                <w:b/>
                                <w:sz w:val="24"/>
                              </w:rPr>
                            </w:pPr>
                            <w:r w:rsidRPr="00CA714F">
                              <w:rPr>
                                <w:b/>
                                <w:sz w:val="24"/>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mv="urn:schemas-microsoft-com:mac:vml" xmlns:mo="http://schemas.microsoft.com/office/mac/office/2008/main">
            <w:pict>
              <v:shapetype w14:anchorId="1FB4D76F" id="_x0000_t202" coordsize="21600,21600" o:spt="202" path="m0,0l0,21600,21600,21600,21600,0xe">
                <v:stroke joinstyle="miter"/>
                <v:path gradientshapeok="t" o:connecttype="rect"/>
              </v:shapetype>
              <v:shape id="Text Box 15" o:spid="_x0000_s1026" type="#_x0000_t202" style="position:absolute;margin-left:18.2pt;margin-top:12.25pt;width:93.3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" fillcolor="window" strokeweight=".5pt">
                <v:path arrowok="t"/>
                <v:textbox>
                  <w:txbxContent>
                    <w:p w14:paraId="6736F1BC" w14:textId="77777777" w:rsidR="00065F50" w:rsidRPr="00CA714F" w:rsidRDefault="00065F50" w:rsidP="00065F50">
                      <w:pPr>
                        <w:jc w:val="center"/>
                        <w:rPr>
                          <w:b/>
                          <w:sz w:val="24"/>
                        </w:rPr>
                      </w:pPr>
                      <w:r w:rsidRPr="00CA714F">
                        <w:rPr>
                          <w:b/>
                          <w:sz w:val="24"/>
                        </w:rPr>
                        <w:t>DỰ THẢO</w:t>
                      </w:r>
                    </w:p>
                  </w:txbxContent>
                </v:textbox>
              </v:shape>
            </w:pict>
          </mc:Fallback>
        </mc:AlternateContent>
      </w:r>
    </w:p>
    <w:p w14:paraId="162BB191" w14:textId="77777777" w:rsidR="00065F50" w:rsidRPr="003D1525" w:rsidRDefault="00065F50" w:rsidP="00065F50">
      <w:pPr>
        <w:spacing w:before="120"/>
        <w:jc w:val="center"/>
        <w:rPr>
          <w:rFonts w:cs="Times New Roman"/>
          <w:b/>
          <w:szCs w:val="28"/>
        </w:rPr>
      </w:pPr>
      <w:bookmarkStart w:id="0" w:name="loai_1"/>
      <w:r w:rsidRPr="003D1525">
        <w:rPr>
          <w:rFonts w:cs="Times New Roman"/>
          <w:b/>
          <w:szCs w:val="28"/>
        </w:rPr>
        <w:t>NGHỊ ĐỊNH</w:t>
      </w:r>
      <w:bookmarkEnd w:id="0"/>
    </w:p>
    <w:p w14:paraId="2547D288" w14:textId="77777777" w:rsidR="00065F50" w:rsidRPr="003D1525" w:rsidRDefault="00065F50" w:rsidP="00065F50">
      <w:pPr>
        <w:spacing w:before="120"/>
        <w:jc w:val="center"/>
        <w:rPr>
          <w:rFonts w:cs="Times New Roman"/>
          <w:b/>
          <w:szCs w:val="28"/>
        </w:rPr>
      </w:pPr>
      <w:bookmarkStart w:id="1" w:name="loai_1_name"/>
      <w:r>
        <w:rPr>
          <w:rFonts w:cs="Times New Roman"/>
          <w:b/>
          <w:szCs w:val="28"/>
        </w:rPr>
        <w:t xml:space="preserve">Sửa đổi, bổ sung một số điều của Nghị định số 156/2018/NĐ-CP ngày 16 tháng 11 năm 2018 của Chính phủ quy định chi tiết thi hành một số điều của </w:t>
      </w:r>
      <w:r w:rsidRPr="003D1525">
        <w:rPr>
          <w:rFonts w:cs="Times New Roman"/>
          <w:b/>
          <w:szCs w:val="28"/>
        </w:rPr>
        <w:t>Luật Lâm nghiệp</w:t>
      </w:r>
    </w:p>
    <w:bookmarkEnd w:id="1"/>
    <w:p w14:paraId="4F64707D" w14:textId="77777777" w:rsidR="00065F50" w:rsidRPr="003D1525" w:rsidRDefault="00065F50" w:rsidP="00065F50">
      <w:pPr>
        <w:spacing w:before="120"/>
        <w:jc w:val="center"/>
        <w:rPr>
          <w:rFonts w:cs="Times New Roman"/>
          <w:szCs w:val="28"/>
        </w:rPr>
      </w:pPr>
      <w:r>
        <w:rPr>
          <w:rFonts w:cs="Times New Roman"/>
          <w:noProof/>
          <w:szCs w:val="28"/>
        </w:rPr>
        <mc:AlternateContent>
          <mc:Choice Requires="wps">
            <w:drawing>
              <wp:anchor distT="0" distB="0" distL="114300" distR="114300" simplePos="0" relativeHeight="251660288" behindDoc="0" locked="0" layoutInCell="1" allowOverlap="1" wp14:anchorId="25509EC9" wp14:editId="20E852B9">
                <wp:simplePos x="0" y="0"/>
                <wp:positionH relativeFrom="column">
                  <wp:posOffset>2287755</wp:posOffset>
                </wp:positionH>
                <wp:positionV relativeFrom="paragraph">
                  <wp:posOffset>47625</wp:posOffset>
                </wp:positionV>
                <wp:extent cx="1255546" cy="4250"/>
                <wp:effectExtent l="0" t="0" r="40005" b="46990"/>
                <wp:wrapNone/>
                <wp:docPr id="2" name="Straight Connector 2"/>
                <wp:cNvGraphicFramePr/>
                <a:graphic xmlns:a="http://schemas.openxmlformats.org/drawingml/2006/main">
                  <a:graphicData uri="http://schemas.microsoft.com/office/word/2010/wordprocessingShape">
                    <wps:wsp>
                      <wps:cNvCnPr/>
                      <wps:spPr>
                        <a:xfrm flipV="1">
                          <a:off x="0" y="0"/>
                          <a:ext cx="1255546" cy="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mv="urn:schemas-microsoft-com:mac:vml" xmlns:mo="http://schemas.microsoft.com/office/mac/office/2008/main">
            <w:pict>
              <v:line w14:anchorId="719BF6C8"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0.15pt,3.75pt" to="279pt,4.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" strokecolor="black [3200]" strokeweight=".5pt">
                <v:stroke joinstyle="miter"/>
              </v:line>
            </w:pict>
          </mc:Fallback>
        </mc:AlternateContent>
      </w:r>
    </w:p>
    <w:p w14:paraId="5B3C5761" w14:textId="77777777" w:rsidR="00065F50" w:rsidRPr="003D1525" w:rsidRDefault="00065F50" w:rsidP="00065F50">
      <w:pPr>
        <w:spacing w:before="120" w:after="120"/>
        <w:ind w:firstLine="709"/>
        <w:jc w:val="both"/>
        <w:rPr>
          <w:rFonts w:cs="Times New Roman"/>
          <w:i/>
          <w:szCs w:val="28"/>
        </w:rPr>
      </w:pPr>
      <w:r w:rsidRPr="003D1525">
        <w:rPr>
          <w:rFonts w:cs="Times New Roman"/>
          <w:i/>
          <w:szCs w:val="28"/>
        </w:rPr>
        <w:t>Căn cứ Luật tổ chức Chính phủ ngày 19 tháng 6 năm 2015;</w:t>
      </w:r>
    </w:p>
    <w:p w14:paraId="34F11AA0" w14:textId="77777777" w:rsidR="00065F50" w:rsidRPr="003D1525" w:rsidRDefault="00065F50" w:rsidP="00065F50">
      <w:pPr>
        <w:spacing w:before="120" w:after="120"/>
        <w:ind w:firstLine="709"/>
        <w:jc w:val="both"/>
        <w:rPr>
          <w:rFonts w:cs="Times New Roman"/>
          <w:i/>
          <w:szCs w:val="28"/>
        </w:rPr>
      </w:pPr>
      <w:r w:rsidRPr="003D1525">
        <w:rPr>
          <w:rFonts w:cs="Times New Roman"/>
          <w:i/>
          <w:szCs w:val="28"/>
        </w:rPr>
        <w:t>Căn cứ Luật Lâm nghiệp ngày 15 tháng 11 năm 2017;</w:t>
      </w:r>
    </w:p>
    <w:p w14:paraId="209745AB" w14:textId="77777777" w:rsidR="00065F50" w:rsidRPr="003D1525" w:rsidRDefault="00065F50" w:rsidP="00065F50">
      <w:pPr>
        <w:spacing w:before="120" w:after="120"/>
        <w:ind w:firstLine="709"/>
        <w:jc w:val="both"/>
        <w:rPr>
          <w:rFonts w:cs="Times New Roman"/>
          <w:i/>
          <w:szCs w:val="28"/>
        </w:rPr>
      </w:pPr>
      <w:r w:rsidRPr="003D1525">
        <w:rPr>
          <w:rFonts w:cs="Times New Roman"/>
          <w:i/>
          <w:szCs w:val="28"/>
        </w:rPr>
        <w:t>Theo đề nghị của Bộ trưởng Bộ Nông nghiệp và Phát triển nông thôn;</w:t>
      </w:r>
    </w:p>
    <w:p w14:paraId="665866EB" w14:textId="77777777" w:rsidR="00065F50" w:rsidRPr="00E10BE6" w:rsidRDefault="00065F50" w:rsidP="00065F50">
      <w:pPr>
        <w:spacing w:before="120" w:after="120"/>
        <w:ind w:firstLine="709"/>
        <w:jc w:val="both"/>
        <w:rPr>
          <w:rFonts w:cs="Times New Roman"/>
          <w:i/>
          <w:szCs w:val="28"/>
        </w:rPr>
      </w:pPr>
      <w:r w:rsidRPr="003D1525">
        <w:rPr>
          <w:rFonts w:cs="Times New Roman"/>
          <w:i/>
          <w:szCs w:val="28"/>
        </w:rPr>
        <w:t xml:space="preserve">Chính phủ ban hành Nghị định </w:t>
      </w:r>
      <w:r>
        <w:rPr>
          <w:rFonts w:cs="Times New Roman"/>
          <w:i/>
          <w:szCs w:val="28"/>
        </w:rPr>
        <w:t>sửa đổi, b</w:t>
      </w:r>
      <w:r w:rsidRPr="00E10BE6">
        <w:rPr>
          <w:rFonts w:cs="Times New Roman"/>
          <w:i/>
          <w:szCs w:val="28"/>
        </w:rPr>
        <w:t>ổ sung một số điều của Nghị định số</w:t>
      </w:r>
      <w:r>
        <w:rPr>
          <w:rFonts w:cs="Times New Roman"/>
          <w:i/>
          <w:szCs w:val="28"/>
        </w:rPr>
        <w:t xml:space="preserve"> </w:t>
      </w:r>
      <w:r w:rsidRPr="00E10BE6">
        <w:rPr>
          <w:rFonts w:cs="Times New Roman"/>
          <w:i/>
          <w:szCs w:val="28"/>
        </w:rPr>
        <w:t>156/2018/NĐ-CP ngày 16 tháng 11 năm 2018 của Chính phủ quy định chi tiết thi hành một số điều của Luật Lâm nghiệp</w:t>
      </w:r>
      <w:r>
        <w:rPr>
          <w:rFonts w:cs="Times New Roman"/>
          <w:i/>
          <w:szCs w:val="28"/>
        </w:rPr>
        <w:t>.</w:t>
      </w:r>
    </w:p>
    <w:p w14:paraId="68712F3E" w14:textId="77777777" w:rsidR="00065F50" w:rsidRDefault="00065F50" w:rsidP="00065F50">
      <w:pPr>
        <w:spacing w:before="120" w:after="120"/>
      </w:pPr>
    </w:p>
    <w:p w14:paraId="592E509D" w14:textId="77777777" w:rsidR="00065F50" w:rsidRDefault="00065F50" w:rsidP="00065F50">
      <w:pPr>
        <w:spacing w:before="120" w:after="120"/>
        <w:jc w:val="both"/>
      </w:pPr>
      <w:r>
        <w:rPr>
          <w:b/>
        </w:rPr>
        <w:tab/>
      </w:r>
      <w:r w:rsidRPr="00E10BE6">
        <w:rPr>
          <w:b/>
        </w:rPr>
        <w:t>Điều 1.</w:t>
      </w:r>
      <w:r>
        <w:t xml:space="preserve"> Sửa đổi, bổ sung một số điều của </w:t>
      </w:r>
      <w:r w:rsidRPr="00E10BE6">
        <w:t>Nghị định số 156/</w:t>
      </w:r>
      <w:r>
        <w:t xml:space="preserve">2018/NĐ-CP ngày 16 tháng 11 năm </w:t>
      </w:r>
      <w:r w:rsidRPr="00E10BE6">
        <w:t>2018 của Chính phủ quy định chi tiết thi hành một số điều của Luật Lâm nghiệp</w:t>
      </w:r>
    </w:p>
    <w:p w14:paraId="60D770DF" w14:textId="7A4D64D5" w:rsidR="00065F50" w:rsidRDefault="00065F50" w:rsidP="00065F50">
      <w:pPr>
        <w:spacing w:before="120" w:after="120"/>
      </w:pPr>
      <w:r>
        <w:tab/>
        <w:t>1. Sửa đổ</w:t>
      </w:r>
      <w:r w:rsidR="004C5431">
        <w:t>i</w:t>
      </w:r>
      <w:r>
        <w:t xml:space="preserve"> Điều 41</w:t>
      </w:r>
      <w:r w:rsidR="004C5431">
        <w:t xml:space="preserve"> như sau:</w:t>
      </w:r>
    </w:p>
    <w:p w14:paraId="4412130C" w14:textId="77777777" w:rsidR="00065F50" w:rsidRPr="003D1525" w:rsidRDefault="00065F50" w:rsidP="00065F50">
      <w:pPr>
        <w:spacing w:before="120" w:after="120"/>
        <w:ind w:firstLine="709"/>
        <w:jc w:val="both"/>
        <w:rPr>
          <w:rFonts w:cs="Times New Roman"/>
          <w:b/>
          <w:szCs w:val="28"/>
        </w:rPr>
      </w:pPr>
      <w:r>
        <w:rPr>
          <w:rFonts w:cs="Times New Roman"/>
          <w:b/>
          <w:szCs w:val="28"/>
        </w:rPr>
        <w:t>"</w:t>
      </w:r>
      <w:r w:rsidRPr="003D1525">
        <w:rPr>
          <w:rFonts w:cs="Times New Roman"/>
          <w:b/>
          <w:szCs w:val="28"/>
        </w:rPr>
        <w:t>Điều 41. T</w:t>
      </w:r>
      <w:r>
        <w:rPr>
          <w:rFonts w:cs="Times New Roman"/>
          <w:b/>
          <w:szCs w:val="28"/>
        </w:rPr>
        <w:t>hẩm quyền, t</w:t>
      </w:r>
      <w:r w:rsidRPr="003D1525">
        <w:rPr>
          <w:rFonts w:cs="Times New Roman"/>
          <w:b/>
          <w:szCs w:val="28"/>
        </w:rPr>
        <w:t>rình tự, thủ tục quyết định chủ trương chuyển mục đích sử dụng rừng sang mục đích khác</w:t>
      </w:r>
    </w:p>
    <w:p w14:paraId="04718CC1" w14:textId="31573005" w:rsidR="00065F50" w:rsidRPr="00ED0DBD" w:rsidRDefault="00065F50" w:rsidP="00065F50">
      <w:pPr>
        <w:spacing w:before="120" w:after="120"/>
        <w:ind w:firstLine="709"/>
        <w:jc w:val="both"/>
        <w:rPr>
          <w:rFonts w:cs="Times New Roman"/>
          <w:szCs w:val="28"/>
        </w:rPr>
      </w:pPr>
      <w:r>
        <w:rPr>
          <w:rFonts w:cs="Times New Roman"/>
          <w:szCs w:val="28"/>
        </w:rPr>
        <w:t>1.</w:t>
      </w:r>
      <w:r w:rsidRPr="0087292C">
        <w:rPr>
          <w:rFonts w:cs="Times New Roman"/>
          <w:color w:val="000000" w:themeColor="text1"/>
          <w:szCs w:val="28"/>
        </w:rPr>
        <w:t xml:space="preserve"> Quốc hội quyết định chủ trương chuyển mục đích sử dụng rừng đối </w:t>
      </w:r>
      <w:r w:rsidR="002133D1">
        <w:rPr>
          <w:rFonts w:cs="Times New Roman"/>
          <w:color w:val="000000" w:themeColor="text1"/>
          <w:szCs w:val="28"/>
        </w:rPr>
        <w:t xml:space="preserve">với </w:t>
      </w:r>
      <w:r w:rsidRPr="0087292C">
        <w:rPr>
          <w:rFonts w:cs="Times New Roman"/>
          <w:color w:val="000000" w:themeColor="text1"/>
          <w:szCs w:val="28"/>
        </w:rPr>
        <w:t xml:space="preserve">các </w:t>
      </w:r>
      <w:r>
        <w:rPr>
          <w:rFonts w:cs="Times New Roman"/>
          <w:szCs w:val="28"/>
        </w:rPr>
        <w:t>trường hợp theo quy định tại khoản 1 Điều 20 Luật Lâm nghiệ</w:t>
      </w:r>
      <w:r w:rsidR="00F428EB">
        <w:rPr>
          <w:rFonts w:cs="Times New Roman"/>
          <w:szCs w:val="28"/>
        </w:rPr>
        <w:t>p</w:t>
      </w:r>
      <w:r>
        <w:rPr>
          <w:rFonts w:cs="Times New Roman"/>
          <w:szCs w:val="28"/>
        </w:rPr>
        <w:t xml:space="preserve">. Các </w:t>
      </w:r>
      <w:r w:rsidRPr="003D1525">
        <w:rPr>
          <w:rFonts w:cs="Times New Roman"/>
          <w:szCs w:val="28"/>
        </w:rPr>
        <w:t>dự án có chuyển mục đích sử dụng rừng đã được Quốc hội quyết định chủ trương đầu tư thì không phải thực hiện trình tự, thủ tục quyết định chủ trương chuyển mục đích sử dụng rừng sang mục đích khác.</w:t>
      </w:r>
      <w:r w:rsidR="00ED0DBD">
        <w:rPr>
          <w:rFonts w:cs="Times New Roman"/>
          <w:szCs w:val="28"/>
        </w:rPr>
        <w:t xml:space="preserve"> </w:t>
      </w:r>
      <w:r w:rsidR="00ED0DBD" w:rsidRPr="00ED0DBD">
        <w:rPr>
          <w:rFonts w:cs="Times New Roman"/>
          <w:szCs w:val="28"/>
        </w:rPr>
        <w:t xml:space="preserve">Trình tự, thủ tục </w:t>
      </w:r>
      <w:r w:rsidR="002F724D" w:rsidRPr="0087292C">
        <w:rPr>
          <w:rFonts w:cs="Times New Roman"/>
          <w:color w:val="000000" w:themeColor="text1"/>
          <w:szCs w:val="28"/>
        </w:rPr>
        <w:t>quyết định chủ trương chuyển mục đích sử dụng rừng</w:t>
      </w:r>
      <w:r w:rsidR="002F724D" w:rsidRPr="00ED0DBD">
        <w:rPr>
          <w:rFonts w:cs="Times New Roman"/>
          <w:szCs w:val="28"/>
        </w:rPr>
        <w:t xml:space="preserve"> </w:t>
      </w:r>
      <w:r w:rsidR="002F724D">
        <w:rPr>
          <w:rFonts w:cs="Times New Roman"/>
          <w:szCs w:val="28"/>
        </w:rPr>
        <w:t xml:space="preserve">thực hiện đồng thời với </w:t>
      </w:r>
      <w:r w:rsidR="00ED0DBD" w:rsidRPr="00ED0DBD">
        <w:rPr>
          <w:rFonts w:cs="Times New Roman"/>
          <w:szCs w:val="28"/>
        </w:rPr>
        <w:t>quyết định chủ trương đầu tư dự án quan trọng quố</w:t>
      </w:r>
      <w:r w:rsidR="00D13974">
        <w:rPr>
          <w:rFonts w:cs="Times New Roman"/>
          <w:szCs w:val="28"/>
        </w:rPr>
        <w:t>c gia</w:t>
      </w:r>
      <w:bookmarkStart w:id="2" w:name="_GoBack"/>
      <w:bookmarkEnd w:id="2"/>
      <w:r w:rsidR="00ED0DBD" w:rsidRPr="00ED0DBD">
        <w:rPr>
          <w:rFonts w:cs="Times New Roman"/>
          <w:szCs w:val="28"/>
        </w:rPr>
        <w:t xml:space="preserve"> theo quy định tại </w:t>
      </w:r>
      <w:r w:rsidR="00ED0DBD">
        <w:rPr>
          <w:rFonts w:cs="Times New Roman"/>
          <w:szCs w:val="28"/>
        </w:rPr>
        <w:t xml:space="preserve">các </w:t>
      </w:r>
      <w:r w:rsidR="00ED0DBD" w:rsidRPr="00ED0DBD">
        <w:rPr>
          <w:rFonts w:cs="Times New Roman"/>
          <w:szCs w:val="28"/>
        </w:rPr>
        <w:t>Điều 19, 20, 21 Luật Đầu tư công năm 2019.</w:t>
      </w:r>
    </w:p>
    <w:p w14:paraId="13316FFA" w14:textId="47058BFA" w:rsidR="00065F50" w:rsidRPr="00065F50" w:rsidRDefault="00065F50" w:rsidP="00065F50">
      <w:pPr>
        <w:spacing w:before="120" w:after="120"/>
        <w:ind w:firstLine="709"/>
        <w:jc w:val="both"/>
        <w:rPr>
          <w:rFonts w:cs="Times New Roman"/>
          <w:szCs w:val="28"/>
        </w:rPr>
      </w:pPr>
      <w:r w:rsidRPr="003D1525">
        <w:rPr>
          <w:rFonts w:cs="Times New Roman"/>
          <w:szCs w:val="28"/>
        </w:rPr>
        <w:t xml:space="preserve">2. </w:t>
      </w:r>
      <w:r>
        <w:rPr>
          <w:rFonts w:cs="Times New Roman"/>
          <w:szCs w:val="28"/>
        </w:rPr>
        <w:t xml:space="preserve">Thủ tướng Chính phủ quyết định chủ trương chuyển mục đích sử dụng rừng </w:t>
      </w:r>
      <w:r w:rsidR="00ED0DBD">
        <w:rPr>
          <w:rFonts w:cs="Times New Roman"/>
          <w:szCs w:val="28"/>
        </w:rPr>
        <w:t>t</w:t>
      </w:r>
      <w:r>
        <w:rPr>
          <w:rFonts w:cs="Times New Roman"/>
          <w:szCs w:val="28"/>
        </w:rPr>
        <w:t xml:space="preserve">heo quy định tại khoản 2 Điều 20 Luật Lâm nghiệp; Chính phủ giao Thủ tướng Chính phủ phê duyệt dự án cấp thiết thuộc thẩm quyền của Chính phủ theo quy định tại khoản 2 Điều 14 Luật Lâm nghiệp </w:t>
      </w:r>
      <w:r w:rsidR="00ED0DBD">
        <w:rPr>
          <w:rFonts w:cs="Times New Roman"/>
          <w:szCs w:val="28"/>
        </w:rPr>
        <w:t xml:space="preserve">đồng thời với phê duyệt </w:t>
      </w:r>
      <w:r>
        <w:rPr>
          <w:rFonts w:cs="Times New Roman"/>
          <w:szCs w:val="28"/>
        </w:rPr>
        <w:t xml:space="preserve">chủ trương chuyển mục đích sử dụng rừng tự nhiên đối với các dự án cấp thiết theo quy định tại khoản 3 Điều 41a bổ sung của Nghị định này. Trình tự, thủ tục </w:t>
      </w:r>
      <w:r w:rsidRPr="00065F50">
        <w:rPr>
          <w:rFonts w:cs="Times New Roman"/>
          <w:szCs w:val="28"/>
        </w:rPr>
        <w:t>quyết định chủ trương chuyển mục đích sử dụng rừng sang mục đích khác như sau:</w:t>
      </w:r>
    </w:p>
    <w:p w14:paraId="6AA19592" w14:textId="463BE316" w:rsidR="00065F50" w:rsidRPr="00B312F6" w:rsidRDefault="00065F50" w:rsidP="00065F50">
      <w:pPr>
        <w:spacing w:before="120" w:after="120"/>
        <w:ind w:firstLine="709"/>
        <w:jc w:val="both"/>
        <w:rPr>
          <w:rFonts w:cs="Times New Roman"/>
          <w:szCs w:val="28"/>
        </w:rPr>
      </w:pPr>
      <w:r>
        <w:rPr>
          <w:rFonts w:cs="Times New Roman"/>
          <w:szCs w:val="28"/>
        </w:rPr>
        <w:lastRenderedPageBreak/>
        <w:t>a</w:t>
      </w:r>
      <w:r w:rsidRPr="003D1525">
        <w:rPr>
          <w:rFonts w:cs="Times New Roman"/>
          <w:szCs w:val="28"/>
        </w:rPr>
        <w:t xml:space="preserve">) Chủ đầu tư gửi trực tiếp hoặc qua dịch vụ bưu chính 02 bộ hồ sơ đến Sở Nông nghiệp và Phát triển nông thôn. Hồ sơ bao gồm: </w:t>
      </w:r>
      <w:r w:rsidRPr="00B312F6">
        <w:rPr>
          <w:rFonts w:eastAsia="Calibri" w:cs="Times New Roman"/>
          <w:szCs w:val="28"/>
          <w:lang w:val="da-DK"/>
        </w:rPr>
        <w:t xml:space="preserve">Văn bản đề nghị của chủ đầu tư; </w:t>
      </w:r>
      <w:r w:rsidRPr="004A209B">
        <w:rPr>
          <w:rFonts w:eastAsia="Calibri" w:cs="Times New Roman"/>
          <w:color w:val="000000" w:themeColor="text1"/>
          <w:szCs w:val="28"/>
          <w:lang w:val="da-DK"/>
        </w:rPr>
        <w:t xml:space="preserve">báo cáo </w:t>
      </w:r>
      <w:r w:rsidRPr="00B312F6">
        <w:rPr>
          <w:rFonts w:eastAsia="Calibri" w:cs="Times New Roman"/>
          <w:szCs w:val="28"/>
          <w:lang w:val="da-DK"/>
        </w:rPr>
        <w:t>đề xuất dự án đầ</w:t>
      </w:r>
      <w:r w:rsidR="002133D1">
        <w:rPr>
          <w:rFonts w:eastAsia="Calibri" w:cs="Times New Roman"/>
          <w:szCs w:val="28"/>
          <w:lang w:val="da-DK"/>
        </w:rPr>
        <w:t>u tư theo quy</w:t>
      </w:r>
      <w:r w:rsidRPr="00B312F6">
        <w:rPr>
          <w:rFonts w:eastAsia="Calibri" w:cs="Times New Roman"/>
          <w:szCs w:val="28"/>
          <w:lang w:val="da-DK"/>
        </w:rPr>
        <w:t xml:space="preserve"> định của pháp luật về đầu tư, văn bản thẩm định báo cáo đề xuất dự án đầu tư của cơ quan có thẩm quyền</w:t>
      </w:r>
      <w:r>
        <w:rPr>
          <w:rFonts w:eastAsia="Calibri" w:cs="Times New Roman"/>
          <w:szCs w:val="28"/>
          <w:lang w:val="da-DK"/>
        </w:rPr>
        <w:t xml:space="preserve">; </w:t>
      </w:r>
      <w:r w:rsidRPr="00B312F6">
        <w:rPr>
          <w:rFonts w:eastAsia="Calibri" w:cs="Times New Roman"/>
          <w:szCs w:val="28"/>
          <w:lang w:val="da-DK"/>
        </w:rPr>
        <w:t>báo cáo đánh giá hiện trạng</w:t>
      </w:r>
      <w:r w:rsidRPr="00BD0C2A">
        <w:rPr>
          <w:rFonts w:eastAsia="Calibri" w:cs="Times New Roman"/>
          <w:szCs w:val="28"/>
          <w:lang w:val="da-DK"/>
        </w:rPr>
        <w:t xml:space="preserve"> tài nguyên rừng</w:t>
      </w:r>
      <w:r>
        <w:rPr>
          <w:rFonts w:eastAsia="Calibri" w:cs="Times New Roman"/>
          <w:szCs w:val="28"/>
          <w:lang w:val="da-DK"/>
        </w:rPr>
        <w:t>; xác nhận của Tư lệnh Quân khu trở lên đối với dự án quốc phòng, Bộ trưởng Bộ Công an đối với dự án an ninh theo quy định tại điểm b khoản 2 Điều 41a bổ sung của Nghị định này;</w:t>
      </w:r>
    </w:p>
    <w:p w14:paraId="53F3F461" w14:textId="77777777" w:rsidR="00065F50" w:rsidRDefault="00065F50" w:rsidP="00065F50">
      <w:pPr>
        <w:spacing w:before="120" w:after="120"/>
        <w:ind w:firstLine="709"/>
        <w:jc w:val="both"/>
        <w:rPr>
          <w:rFonts w:cs="Times New Roman"/>
          <w:szCs w:val="28"/>
        </w:rPr>
      </w:pPr>
      <w:r>
        <w:rPr>
          <w:rFonts w:cs="Times New Roman"/>
          <w:szCs w:val="28"/>
        </w:rPr>
        <w:t>b</w:t>
      </w:r>
      <w:r w:rsidRPr="003D1525">
        <w:rPr>
          <w:rFonts w:cs="Times New Roman"/>
          <w:szCs w:val="28"/>
        </w:rPr>
        <w:t xml:space="preserve">) Trong thời hạn 15 ngày làm việc kể từ ngày nhận đủ hồ sơ hợp lệ, Sở Nông nghiệp và Phát triển nông thôn có trách nhiệm </w:t>
      </w:r>
      <w:r>
        <w:rPr>
          <w:rFonts w:cs="Times New Roman"/>
          <w:szCs w:val="28"/>
        </w:rPr>
        <w:t>thẩm định, lập hồ sơ đề nghị chuyển mục đích sử dụng rừng</w:t>
      </w:r>
      <w:r w:rsidRPr="003D1525">
        <w:rPr>
          <w:rFonts w:cs="Times New Roman"/>
          <w:szCs w:val="28"/>
        </w:rPr>
        <w:t xml:space="preserve"> báo cáo Ủy ban nhân dân cấp tỉnh</w:t>
      </w:r>
      <w:r>
        <w:rPr>
          <w:rFonts w:cs="Times New Roman"/>
          <w:szCs w:val="28"/>
        </w:rPr>
        <w:t xml:space="preserve"> xem xét. Hồ sơ gồm: Hồ sơ quy định tại điểm a khoản 2 Điều này; </w:t>
      </w:r>
      <w:r w:rsidRPr="00B312F6">
        <w:rPr>
          <w:rFonts w:eastAsia="Calibri" w:cs="Times New Roman"/>
          <w:szCs w:val="28"/>
          <w:lang w:val="da-DK"/>
        </w:rPr>
        <w:t>tài liệu chứng minh sự phù hợp của dự án với quy hoạch Lâm nghiệp</w:t>
      </w:r>
      <w:r>
        <w:rPr>
          <w:rFonts w:eastAsia="Calibri" w:cs="Times New Roman"/>
          <w:szCs w:val="28"/>
          <w:lang w:val="da-DK"/>
        </w:rPr>
        <w:t>,</w:t>
      </w:r>
      <w:r w:rsidRPr="00B312F6">
        <w:rPr>
          <w:rFonts w:eastAsia="Calibri" w:cs="Times New Roman"/>
          <w:szCs w:val="28"/>
          <w:lang w:val="da-DK"/>
        </w:rPr>
        <w:t xml:space="preserve"> quy hoạch, kế hoạch sử dụng đất trong kỳ quy hoạch sử dụng đất </w:t>
      </w:r>
      <w:r>
        <w:rPr>
          <w:rFonts w:eastAsia="Calibri" w:cs="Times New Roman"/>
          <w:szCs w:val="28"/>
          <w:lang w:val="da-DK"/>
        </w:rPr>
        <w:t>được cấp có thẩm quyền phê duyệt</w:t>
      </w:r>
      <w:r w:rsidRPr="00B312F6">
        <w:rPr>
          <w:rFonts w:cs="Times New Roman"/>
          <w:szCs w:val="28"/>
        </w:rPr>
        <w:t>;</w:t>
      </w:r>
    </w:p>
    <w:p w14:paraId="50F30E1F" w14:textId="4D7D3CC8" w:rsidR="00065F50" w:rsidRPr="003D1525" w:rsidRDefault="00065F50" w:rsidP="00065F50">
      <w:pPr>
        <w:spacing w:before="120" w:after="120"/>
        <w:ind w:firstLine="709"/>
        <w:jc w:val="both"/>
        <w:rPr>
          <w:rFonts w:cs="Times New Roman"/>
          <w:szCs w:val="28"/>
        </w:rPr>
      </w:pPr>
      <w:r>
        <w:rPr>
          <w:rFonts w:cs="Times New Roman"/>
          <w:szCs w:val="28"/>
        </w:rPr>
        <w:t xml:space="preserve">c) Trong thời hạn 10 ngày làm việc kể từ ngay nhận được hồ sơ, </w:t>
      </w:r>
      <w:r w:rsidRPr="003D1525">
        <w:rPr>
          <w:rFonts w:cs="Times New Roman"/>
          <w:szCs w:val="28"/>
        </w:rPr>
        <w:t>Ủy ban nhân dân cấp tỉnh</w:t>
      </w:r>
      <w:r w:rsidR="002133D1">
        <w:rPr>
          <w:rFonts w:cs="Times New Roman"/>
          <w:szCs w:val="28"/>
        </w:rPr>
        <w:t>, xem</w:t>
      </w:r>
      <w:r>
        <w:rPr>
          <w:rFonts w:cs="Times New Roman"/>
          <w:szCs w:val="28"/>
        </w:rPr>
        <w:t xml:space="preserve"> xét gửi hồ sơ về Bộ Nông nghiệp và Phát triển nông thôn. Hồ sơ gửi Bộ Nông nghiệp và Phát triển nông thôn gồm: Tờ trình của Uỷ ban nhân dân tỉnh và Hồ sơ quy định tại điểm b khoản 2 Điều này</w:t>
      </w:r>
      <w:r w:rsidRPr="00B312F6">
        <w:rPr>
          <w:rFonts w:cs="Times New Roman"/>
          <w:szCs w:val="28"/>
        </w:rPr>
        <w:t>;</w:t>
      </w:r>
    </w:p>
    <w:p w14:paraId="17718FC9" w14:textId="77777777" w:rsidR="00065F50" w:rsidRPr="003D1525" w:rsidRDefault="00065F50" w:rsidP="00065F50">
      <w:pPr>
        <w:spacing w:before="120" w:after="120"/>
        <w:ind w:firstLine="709"/>
        <w:jc w:val="both"/>
        <w:rPr>
          <w:rFonts w:cs="Times New Roman"/>
          <w:szCs w:val="28"/>
        </w:rPr>
      </w:pPr>
      <w:r>
        <w:rPr>
          <w:rFonts w:cs="Times New Roman"/>
          <w:szCs w:val="28"/>
        </w:rPr>
        <w:t>d</w:t>
      </w:r>
      <w:r w:rsidRPr="003D1525">
        <w:rPr>
          <w:rFonts w:cs="Times New Roman"/>
          <w:szCs w:val="28"/>
        </w:rPr>
        <w:t>) Trong thời hạn 30 ngày làm việc kể từ ngày nhận đủ hồ sơ hợp lệ,</w:t>
      </w:r>
      <w:r w:rsidRPr="00B312F6">
        <w:rPr>
          <w:rFonts w:cs="Times New Roman"/>
          <w:szCs w:val="28"/>
        </w:rPr>
        <w:t xml:space="preserve"> Bộ Nông nghiệp và Phát triển nông thôn chủ trì, phối hợp với Bộ, ban, ngành liên quan </w:t>
      </w:r>
      <w:r>
        <w:rPr>
          <w:rFonts w:cs="Times New Roman"/>
          <w:szCs w:val="28"/>
        </w:rPr>
        <w:t>xem xét, b</w:t>
      </w:r>
      <w:r w:rsidRPr="00B312F6">
        <w:rPr>
          <w:rFonts w:cs="Times New Roman"/>
          <w:szCs w:val="28"/>
        </w:rPr>
        <w:t>áo cáo Thủ tướng Chính phủ quyết định chủ trương chuyển mục đích sử dụng rừng;</w:t>
      </w:r>
    </w:p>
    <w:p w14:paraId="7AA5C14C" w14:textId="77777777" w:rsidR="00065F50" w:rsidRPr="003D1525" w:rsidRDefault="00065F50" w:rsidP="00065F50">
      <w:pPr>
        <w:spacing w:before="120" w:after="120"/>
        <w:ind w:firstLine="709"/>
        <w:jc w:val="both"/>
        <w:rPr>
          <w:rFonts w:cs="Times New Roman"/>
          <w:szCs w:val="28"/>
        </w:rPr>
      </w:pPr>
      <w:r>
        <w:rPr>
          <w:rFonts w:cs="Times New Roman"/>
          <w:szCs w:val="28"/>
        </w:rPr>
        <w:t>đ</w:t>
      </w:r>
      <w:r w:rsidRPr="003D1525">
        <w:rPr>
          <w:rFonts w:cs="Times New Roman"/>
          <w:szCs w:val="28"/>
        </w:rPr>
        <w:t xml:space="preserve">) Trong thời hạn </w:t>
      </w:r>
      <w:r>
        <w:rPr>
          <w:rFonts w:cs="Times New Roman"/>
          <w:szCs w:val="28"/>
        </w:rPr>
        <w:t>10</w:t>
      </w:r>
      <w:r w:rsidRPr="003D1525">
        <w:rPr>
          <w:rFonts w:cs="Times New Roman"/>
          <w:szCs w:val="28"/>
        </w:rPr>
        <w:t xml:space="preserve"> ngày làm việc kể từ ngày nhận đủ hồ sơ, Thủ tướng Chính phủ xem xét quyết định chủ trương chuyển mục đích sử dụng rừng sang mục đích khác;</w:t>
      </w:r>
    </w:p>
    <w:p w14:paraId="43F5720D" w14:textId="77777777" w:rsidR="00065F50" w:rsidRPr="003D1525" w:rsidRDefault="00065F50" w:rsidP="00065F50">
      <w:pPr>
        <w:spacing w:before="120" w:after="120"/>
        <w:ind w:firstLine="709"/>
        <w:jc w:val="both"/>
        <w:rPr>
          <w:rFonts w:cs="Times New Roman"/>
          <w:szCs w:val="28"/>
        </w:rPr>
      </w:pPr>
      <w:r>
        <w:rPr>
          <w:rFonts w:cs="Times New Roman"/>
          <w:szCs w:val="28"/>
        </w:rPr>
        <w:t>e</w:t>
      </w:r>
      <w:r w:rsidRPr="003D1525">
        <w:rPr>
          <w:rFonts w:cs="Times New Roman"/>
          <w:szCs w:val="28"/>
        </w:rPr>
        <w:t>) Đối với trường hợp đã được Thủ tướng Chính phủ quyết định chủ trương đầu tư thì không phải thực hiện theo quy định tại khoản này.</w:t>
      </w:r>
    </w:p>
    <w:p w14:paraId="3A2536DD" w14:textId="5891A168" w:rsidR="00065F50" w:rsidRDefault="00065F50" w:rsidP="00065F50">
      <w:pPr>
        <w:spacing w:before="120" w:after="120"/>
        <w:ind w:firstLine="709"/>
        <w:jc w:val="both"/>
        <w:rPr>
          <w:rFonts w:cs="Times New Roman"/>
          <w:szCs w:val="28"/>
        </w:rPr>
      </w:pPr>
      <w:r w:rsidRPr="003D1525">
        <w:rPr>
          <w:rFonts w:cs="Times New Roman"/>
          <w:szCs w:val="28"/>
        </w:rPr>
        <w:t xml:space="preserve">3. </w:t>
      </w:r>
      <w:r>
        <w:rPr>
          <w:rFonts w:cs="Times New Roman"/>
          <w:szCs w:val="28"/>
        </w:rPr>
        <w:t>Hội đồng nhân dân cấp tỉnh quyết định chủ trương chuyển mục đích sử dụng rừng đối với các trường hợp không quy định tại điểm a khoản</w:t>
      </w:r>
      <w:r w:rsidR="002133D1">
        <w:rPr>
          <w:rFonts w:cs="Times New Roman"/>
          <w:szCs w:val="28"/>
        </w:rPr>
        <w:t xml:space="preserve"> </w:t>
      </w:r>
      <w:r>
        <w:rPr>
          <w:rFonts w:cs="Times New Roman"/>
          <w:szCs w:val="28"/>
        </w:rPr>
        <w:t xml:space="preserve">1, điểm a khoản 2 Điều này. Trình tự, thủ tục </w:t>
      </w:r>
      <w:r w:rsidRPr="00065F50">
        <w:rPr>
          <w:rFonts w:cs="Times New Roman"/>
          <w:szCs w:val="28"/>
        </w:rPr>
        <w:t>quyết định chủ trương chuyển mục đích sử dụng rừng sang mục đích khác như sau:</w:t>
      </w:r>
    </w:p>
    <w:p w14:paraId="40B68378" w14:textId="2DCBE3C7" w:rsidR="00065F50" w:rsidRPr="00B312F6" w:rsidRDefault="00065F50" w:rsidP="00065F50">
      <w:pPr>
        <w:spacing w:before="120" w:after="120"/>
        <w:ind w:firstLine="709"/>
        <w:jc w:val="both"/>
        <w:rPr>
          <w:rFonts w:cs="Times New Roman"/>
          <w:szCs w:val="28"/>
        </w:rPr>
      </w:pPr>
      <w:r>
        <w:rPr>
          <w:rFonts w:cs="Times New Roman"/>
          <w:szCs w:val="28"/>
        </w:rPr>
        <w:t>a</w:t>
      </w:r>
      <w:r w:rsidRPr="003D1525">
        <w:rPr>
          <w:rFonts w:cs="Times New Roman"/>
          <w:szCs w:val="28"/>
        </w:rPr>
        <w:t xml:space="preserve">) Chủ đầu tư gửi trực tiếp hoặc qua dịch vụ bưu chính 02 bộ hồ sơ đến Sở Nông nghiệp và Phát triển nông thôn đối với diện tích rừng đề nghị chuyển mục đích thuộc chủ rừng là tổ chức. Hồ sơ gồm: </w:t>
      </w:r>
      <w:r w:rsidRPr="00B312F6">
        <w:rPr>
          <w:rFonts w:eastAsia="Calibri" w:cs="Times New Roman"/>
          <w:szCs w:val="28"/>
          <w:lang w:val="da-DK"/>
        </w:rPr>
        <w:t xml:space="preserve">Văn bản đề nghị của chủ đầu tư; </w:t>
      </w:r>
      <w:r w:rsidRPr="004A209B">
        <w:rPr>
          <w:rFonts w:eastAsia="Calibri" w:cs="Times New Roman"/>
          <w:color w:val="000000" w:themeColor="text1"/>
          <w:szCs w:val="28"/>
          <w:lang w:val="da-DK"/>
        </w:rPr>
        <w:t xml:space="preserve">báo cáo </w:t>
      </w:r>
      <w:r w:rsidRPr="00B312F6">
        <w:rPr>
          <w:rFonts w:eastAsia="Calibri" w:cs="Times New Roman"/>
          <w:szCs w:val="28"/>
          <w:lang w:val="da-DK"/>
        </w:rPr>
        <w:t>đề xuất dự án đầ</w:t>
      </w:r>
      <w:r w:rsidR="002133D1">
        <w:rPr>
          <w:rFonts w:eastAsia="Calibri" w:cs="Times New Roman"/>
          <w:szCs w:val="28"/>
          <w:lang w:val="da-DK"/>
        </w:rPr>
        <w:t>u tư theo quy</w:t>
      </w:r>
      <w:r w:rsidRPr="00B312F6">
        <w:rPr>
          <w:rFonts w:eastAsia="Calibri" w:cs="Times New Roman"/>
          <w:szCs w:val="28"/>
          <w:lang w:val="da-DK"/>
        </w:rPr>
        <w:t xml:space="preserve"> định của pháp luật về đầu tư, văn bản thẩm định báo cáo đề xuất dự án đầu tư của cơ quan có thẩm quyền</w:t>
      </w:r>
      <w:r>
        <w:rPr>
          <w:rFonts w:eastAsia="Calibri" w:cs="Times New Roman"/>
          <w:szCs w:val="28"/>
          <w:lang w:val="da-DK"/>
        </w:rPr>
        <w:t xml:space="preserve">; </w:t>
      </w:r>
      <w:r w:rsidRPr="00B312F6">
        <w:rPr>
          <w:rFonts w:eastAsia="Calibri" w:cs="Times New Roman"/>
          <w:szCs w:val="28"/>
          <w:lang w:val="da-DK"/>
        </w:rPr>
        <w:t>báo cáo đánh giá hiện trạng</w:t>
      </w:r>
      <w:r w:rsidRPr="00BD0C2A">
        <w:rPr>
          <w:rFonts w:eastAsia="Calibri" w:cs="Times New Roman"/>
          <w:szCs w:val="28"/>
          <w:lang w:val="da-DK"/>
        </w:rPr>
        <w:t xml:space="preserve"> tài nguyên rừng</w:t>
      </w:r>
      <w:r w:rsidRPr="00B312F6">
        <w:rPr>
          <w:rFonts w:eastAsia="Calibri" w:cs="Times New Roman"/>
          <w:szCs w:val="28"/>
          <w:lang w:val="da-DK"/>
        </w:rPr>
        <w:t>;</w:t>
      </w:r>
    </w:p>
    <w:p w14:paraId="34DE5B80" w14:textId="08B1CCF0" w:rsidR="00065F50" w:rsidRPr="003D1525" w:rsidRDefault="00065F50" w:rsidP="00065F50">
      <w:pPr>
        <w:spacing w:before="120" w:after="120"/>
        <w:ind w:firstLine="709"/>
        <w:jc w:val="both"/>
        <w:rPr>
          <w:rFonts w:cs="Times New Roman"/>
          <w:szCs w:val="28"/>
        </w:rPr>
      </w:pPr>
      <w:r>
        <w:rPr>
          <w:rFonts w:cs="Times New Roman"/>
          <w:szCs w:val="28"/>
        </w:rPr>
        <w:t>b</w:t>
      </w:r>
      <w:r w:rsidRPr="003D1525">
        <w:rPr>
          <w:rFonts w:cs="Times New Roman"/>
          <w:szCs w:val="28"/>
        </w:rPr>
        <w:t>) Trong thời hạn 15 ngày làm việc kể từ ngày nhận đủ hồ sơ hợp lệ, Sở Nông nghiệp và Phát triển nông thôn</w:t>
      </w:r>
      <w:r>
        <w:rPr>
          <w:rFonts w:cs="Times New Roman"/>
          <w:szCs w:val="28"/>
        </w:rPr>
        <w:t xml:space="preserve"> thẩm định,</w:t>
      </w:r>
      <w:r w:rsidRPr="003D1525">
        <w:rPr>
          <w:rFonts w:cs="Times New Roman"/>
          <w:szCs w:val="28"/>
        </w:rPr>
        <w:t xml:space="preserve"> gửi hồ sơ báo cáo Ủy ban nhân dân cấp tỉnh xem xét</w:t>
      </w:r>
      <w:r>
        <w:rPr>
          <w:rFonts w:cs="Times New Roman"/>
          <w:szCs w:val="28"/>
        </w:rPr>
        <w:t xml:space="preserve">. Hồ sơ gồm: Hồ sơ quy định tại điểm a khoản 3 Điều này; </w:t>
      </w:r>
      <w:r w:rsidRPr="00B312F6">
        <w:rPr>
          <w:rFonts w:eastAsia="Calibri" w:cs="Times New Roman"/>
          <w:szCs w:val="28"/>
          <w:lang w:val="da-DK"/>
        </w:rPr>
        <w:t>tài liệu chứng minh sự phù hợp của dự án với quy hoạ</w:t>
      </w:r>
      <w:r w:rsidR="002133D1">
        <w:rPr>
          <w:rFonts w:eastAsia="Calibri" w:cs="Times New Roman"/>
          <w:szCs w:val="28"/>
          <w:lang w:val="da-DK"/>
        </w:rPr>
        <w:t>ch l</w:t>
      </w:r>
      <w:r w:rsidRPr="00B312F6">
        <w:rPr>
          <w:rFonts w:eastAsia="Calibri" w:cs="Times New Roman"/>
          <w:szCs w:val="28"/>
          <w:lang w:val="da-DK"/>
        </w:rPr>
        <w:t>âm nghiệp</w:t>
      </w:r>
      <w:r>
        <w:rPr>
          <w:rFonts w:eastAsia="Calibri" w:cs="Times New Roman"/>
          <w:szCs w:val="28"/>
          <w:lang w:val="da-DK"/>
        </w:rPr>
        <w:t>,</w:t>
      </w:r>
      <w:r w:rsidRPr="00B312F6">
        <w:rPr>
          <w:rFonts w:eastAsia="Calibri" w:cs="Times New Roman"/>
          <w:szCs w:val="28"/>
          <w:lang w:val="da-DK"/>
        </w:rPr>
        <w:t xml:space="preserve"> quy hoạch, kế hoạch sử dụng đất trong kỳ quy hoạch sử dụng đất </w:t>
      </w:r>
      <w:r>
        <w:rPr>
          <w:rFonts w:eastAsia="Calibri" w:cs="Times New Roman"/>
          <w:szCs w:val="28"/>
          <w:lang w:val="da-DK"/>
        </w:rPr>
        <w:t>được cấp có thẩm quyền phê duyệt</w:t>
      </w:r>
      <w:r w:rsidRPr="003D1525">
        <w:rPr>
          <w:rFonts w:cs="Times New Roman"/>
          <w:szCs w:val="28"/>
        </w:rPr>
        <w:t>;</w:t>
      </w:r>
    </w:p>
    <w:p w14:paraId="51690D39" w14:textId="77777777" w:rsidR="00065F50" w:rsidRPr="003D1525" w:rsidRDefault="00065F50" w:rsidP="00065F50">
      <w:pPr>
        <w:spacing w:before="120" w:after="120"/>
        <w:ind w:firstLine="709"/>
        <w:jc w:val="both"/>
        <w:rPr>
          <w:rFonts w:cs="Times New Roman"/>
          <w:szCs w:val="28"/>
        </w:rPr>
      </w:pPr>
      <w:r>
        <w:rPr>
          <w:rFonts w:cs="Times New Roman"/>
          <w:szCs w:val="28"/>
        </w:rPr>
        <w:lastRenderedPageBreak/>
        <w:t>c</w:t>
      </w:r>
      <w:r w:rsidRPr="003D1525">
        <w:rPr>
          <w:rFonts w:cs="Times New Roman"/>
          <w:szCs w:val="28"/>
        </w:rPr>
        <w:t xml:space="preserve">) Chủ đầu tư gửi trực tiếp hoặc qua dịch vụ bưu chính 02 bộ hồ sơ đến Ủy ban nhân dân cấp huyện đối với diện tích rừng đề nghị chuyển mục đích thuộc chủ rừng là hộ gia đình, cá nhân, cộng đồng dân cư. Hồ sơ gồm: </w:t>
      </w:r>
      <w:r w:rsidRPr="00B312F6">
        <w:rPr>
          <w:rFonts w:eastAsia="Calibri" w:cs="Times New Roman"/>
          <w:szCs w:val="28"/>
          <w:lang w:val="da-DK"/>
        </w:rPr>
        <w:t xml:space="preserve">Văn bản đề nghị của chủ đầu tư; </w:t>
      </w:r>
      <w:r w:rsidRPr="004A209B">
        <w:rPr>
          <w:rFonts w:eastAsia="Calibri" w:cs="Times New Roman"/>
          <w:color w:val="000000" w:themeColor="text1"/>
          <w:szCs w:val="28"/>
          <w:lang w:val="da-DK"/>
        </w:rPr>
        <w:t xml:space="preserve">báo cáo </w:t>
      </w:r>
      <w:r w:rsidRPr="00B312F6">
        <w:rPr>
          <w:rFonts w:eastAsia="Calibri" w:cs="Times New Roman"/>
          <w:szCs w:val="28"/>
          <w:lang w:val="da-DK"/>
        </w:rPr>
        <w:t>đề xuất dự án đầu tư theo quy định định của pháp luật về đầu tư, văn bản thẩm định báo cáo đề xuất dự án đầu tư của cơ quan có thẩm quyền</w:t>
      </w:r>
      <w:r>
        <w:rPr>
          <w:rFonts w:eastAsia="Calibri" w:cs="Times New Roman"/>
          <w:szCs w:val="28"/>
          <w:lang w:val="da-DK"/>
        </w:rPr>
        <w:t xml:space="preserve">; </w:t>
      </w:r>
      <w:r w:rsidRPr="00B312F6">
        <w:rPr>
          <w:rFonts w:eastAsia="Calibri" w:cs="Times New Roman"/>
          <w:szCs w:val="28"/>
          <w:lang w:val="da-DK"/>
        </w:rPr>
        <w:t>báo cáo đánh giá hiện trạng</w:t>
      </w:r>
      <w:r w:rsidRPr="00BD0C2A">
        <w:rPr>
          <w:rFonts w:eastAsia="Calibri" w:cs="Times New Roman"/>
          <w:szCs w:val="28"/>
          <w:lang w:val="da-DK"/>
        </w:rPr>
        <w:t xml:space="preserve"> tài nguyên rừng</w:t>
      </w:r>
      <w:r w:rsidRPr="00B312F6">
        <w:rPr>
          <w:rFonts w:eastAsia="Calibri" w:cs="Times New Roman"/>
          <w:szCs w:val="28"/>
          <w:lang w:val="da-DK"/>
        </w:rPr>
        <w:t>;</w:t>
      </w:r>
    </w:p>
    <w:p w14:paraId="462D27BC" w14:textId="77777777" w:rsidR="00065F50" w:rsidRPr="003D1525" w:rsidRDefault="00065F50" w:rsidP="00065F50">
      <w:pPr>
        <w:spacing w:before="120" w:after="120"/>
        <w:ind w:firstLine="709"/>
        <w:jc w:val="both"/>
        <w:rPr>
          <w:rFonts w:cs="Times New Roman"/>
          <w:szCs w:val="28"/>
        </w:rPr>
      </w:pPr>
      <w:r>
        <w:rPr>
          <w:rFonts w:cs="Times New Roman"/>
          <w:szCs w:val="28"/>
        </w:rPr>
        <w:t>d</w:t>
      </w:r>
      <w:r w:rsidRPr="003D1525">
        <w:rPr>
          <w:rFonts w:cs="Times New Roman"/>
          <w:szCs w:val="28"/>
        </w:rPr>
        <w:t>) Trong thời hạn 15 ngày làm việc kể từ ngày nhận đủ hồ sơ hợp lệ, Ủy ban nhân dân cấp huyện gửi hồ sơ báo cáo Ủy ban nhân dân cấp tỉnh xem xét;</w:t>
      </w:r>
      <w:r>
        <w:rPr>
          <w:rFonts w:cs="Times New Roman"/>
          <w:szCs w:val="28"/>
        </w:rPr>
        <w:t xml:space="preserve"> Hồ sơ gồm: Hồ sơ quy định tại điểm a khoản 3 Điều này; </w:t>
      </w:r>
      <w:r w:rsidRPr="00B312F6">
        <w:rPr>
          <w:rFonts w:eastAsia="Calibri" w:cs="Times New Roman"/>
          <w:szCs w:val="28"/>
          <w:lang w:val="da-DK"/>
        </w:rPr>
        <w:t>tài liệu chứng minh sự phù hợp của dự án với quy hoạch Lâm nghiệp</w:t>
      </w:r>
      <w:r>
        <w:rPr>
          <w:rFonts w:eastAsia="Calibri" w:cs="Times New Roman"/>
          <w:szCs w:val="28"/>
          <w:lang w:val="da-DK"/>
        </w:rPr>
        <w:t>,</w:t>
      </w:r>
      <w:r w:rsidRPr="00B312F6">
        <w:rPr>
          <w:rFonts w:eastAsia="Calibri" w:cs="Times New Roman"/>
          <w:szCs w:val="28"/>
          <w:lang w:val="da-DK"/>
        </w:rPr>
        <w:t xml:space="preserve"> quy hoạch, kế hoạch sử dụng đất trong kỳ quy hoạch sử dụng đất </w:t>
      </w:r>
      <w:r>
        <w:rPr>
          <w:rFonts w:eastAsia="Calibri" w:cs="Times New Roman"/>
          <w:szCs w:val="28"/>
          <w:lang w:val="da-DK"/>
        </w:rPr>
        <w:t>được cấp có thẩm quyền phê duyệt</w:t>
      </w:r>
      <w:r w:rsidRPr="00B312F6">
        <w:rPr>
          <w:rFonts w:cs="Times New Roman"/>
          <w:szCs w:val="28"/>
        </w:rPr>
        <w:t>;</w:t>
      </w:r>
    </w:p>
    <w:p w14:paraId="4D5A43F1" w14:textId="55D01719" w:rsidR="00065F50" w:rsidRPr="003D1525" w:rsidRDefault="00065F50" w:rsidP="00065F50">
      <w:pPr>
        <w:spacing w:before="120" w:after="120"/>
        <w:ind w:firstLine="709"/>
        <w:jc w:val="both"/>
        <w:rPr>
          <w:rFonts w:cs="Times New Roman"/>
          <w:szCs w:val="28"/>
        </w:rPr>
      </w:pPr>
      <w:r>
        <w:rPr>
          <w:rFonts w:cs="Times New Roman"/>
          <w:szCs w:val="28"/>
        </w:rPr>
        <w:t>đ</w:t>
      </w:r>
      <w:r w:rsidRPr="003D1525">
        <w:rPr>
          <w:rFonts w:cs="Times New Roman"/>
          <w:szCs w:val="28"/>
        </w:rPr>
        <w:t xml:space="preserve">) Trước 15 ngày của kỳ họp Hội đồng nhân dân </w:t>
      </w:r>
      <w:r w:rsidR="002133D1">
        <w:rPr>
          <w:rFonts w:cs="Times New Roman"/>
          <w:szCs w:val="28"/>
        </w:rPr>
        <w:t xml:space="preserve">cấp tỉnh </w:t>
      </w:r>
      <w:r w:rsidRPr="003D1525">
        <w:rPr>
          <w:rFonts w:cs="Times New Roman"/>
          <w:szCs w:val="28"/>
        </w:rPr>
        <w:t xml:space="preserve">gần nhất, Ủy ban nhân dân cấp tỉnh trình Hội đồng nhân dân cùng cấp xem xét, quyết định chủ trương chuyển mục đích sử dụng rừng sang mục đích khác. Sau 15 ngày của kỳ họp, Hội đồng nhân dân </w:t>
      </w:r>
      <w:r w:rsidR="002133D1">
        <w:rPr>
          <w:rFonts w:cs="Times New Roman"/>
          <w:szCs w:val="28"/>
        </w:rPr>
        <w:t xml:space="preserve">cấp tỉnh </w:t>
      </w:r>
      <w:r w:rsidRPr="003D1525">
        <w:rPr>
          <w:rFonts w:cs="Times New Roman"/>
          <w:szCs w:val="28"/>
        </w:rPr>
        <w:t>ban hành Nghị quyết về chủ trương chuyển mục đích sử dụng rừng sang mục đích khác;</w:t>
      </w:r>
    </w:p>
    <w:p w14:paraId="1AED5CEE" w14:textId="77777777" w:rsidR="00065F50" w:rsidRPr="00B312F6" w:rsidRDefault="00065F50" w:rsidP="00065F50">
      <w:pPr>
        <w:spacing w:before="120" w:after="120"/>
        <w:ind w:firstLine="709"/>
        <w:jc w:val="both"/>
        <w:rPr>
          <w:rFonts w:cs="Times New Roman"/>
          <w:szCs w:val="28"/>
        </w:rPr>
      </w:pPr>
      <w:r>
        <w:rPr>
          <w:rFonts w:cs="Times New Roman"/>
          <w:szCs w:val="28"/>
        </w:rPr>
        <w:t>e</w:t>
      </w:r>
      <w:r w:rsidRPr="003D1525">
        <w:rPr>
          <w:rFonts w:cs="Times New Roman"/>
          <w:szCs w:val="28"/>
        </w:rPr>
        <w:t>) Đối với trường hợp đã được Hội đồng nhân dân cấp tỉnh quyết định chủ trương đầu tư thì không phải thực hiện theo quy định tại khoản này.</w:t>
      </w:r>
      <w:r>
        <w:rPr>
          <w:rFonts w:cs="Times New Roman"/>
          <w:szCs w:val="28"/>
        </w:rPr>
        <w:t>"</w:t>
      </w:r>
    </w:p>
    <w:p w14:paraId="1F12CAEA" w14:textId="77777777" w:rsidR="00065F50" w:rsidRDefault="00065F50" w:rsidP="00065F50">
      <w:pPr>
        <w:spacing w:before="120" w:after="120"/>
        <w:ind w:firstLine="709"/>
        <w:jc w:val="both"/>
        <w:rPr>
          <w:rFonts w:cs="Times New Roman"/>
          <w:szCs w:val="28"/>
        </w:rPr>
      </w:pPr>
      <w:r>
        <w:rPr>
          <w:rFonts w:cs="Times New Roman"/>
          <w:szCs w:val="28"/>
        </w:rPr>
        <w:t>2. Bổ sung Điều 41a như sau:</w:t>
      </w:r>
    </w:p>
    <w:p w14:paraId="2EFF2C2E" w14:textId="77777777" w:rsidR="00065F50" w:rsidRPr="008F0121" w:rsidRDefault="00065F50" w:rsidP="00065F50">
      <w:pPr>
        <w:spacing w:before="120" w:after="120"/>
        <w:ind w:firstLine="709"/>
        <w:jc w:val="both"/>
        <w:rPr>
          <w:rFonts w:cs="Times New Roman"/>
          <w:b/>
          <w:szCs w:val="28"/>
        </w:rPr>
      </w:pPr>
      <w:r w:rsidRPr="00387378">
        <w:rPr>
          <w:rFonts w:cs="Times New Roman"/>
          <w:b/>
          <w:szCs w:val="28"/>
        </w:rPr>
        <w:t>"Điề</w:t>
      </w:r>
      <w:r>
        <w:rPr>
          <w:rFonts w:cs="Times New Roman"/>
          <w:b/>
          <w:szCs w:val="28"/>
        </w:rPr>
        <w:t>u 41a</w:t>
      </w:r>
      <w:r w:rsidRPr="00387378">
        <w:rPr>
          <w:rFonts w:cs="Times New Roman"/>
          <w:b/>
          <w:szCs w:val="28"/>
        </w:rPr>
        <w:t>.</w:t>
      </w:r>
      <w:r>
        <w:rPr>
          <w:rFonts w:cs="Times New Roman"/>
          <w:szCs w:val="28"/>
        </w:rPr>
        <w:t xml:space="preserve"> </w:t>
      </w:r>
      <w:r w:rsidRPr="008F0121">
        <w:rPr>
          <w:rFonts w:cs="Times New Roman"/>
          <w:b/>
          <w:szCs w:val="28"/>
        </w:rPr>
        <w:t xml:space="preserve">Tiêu chí xác định dự </w:t>
      </w:r>
      <w:r w:rsidRPr="008F0121">
        <w:rPr>
          <w:rFonts w:eastAsia="Arial Unicode MS"/>
          <w:b/>
          <w:color w:val="000000"/>
          <w:u w:color="000000"/>
          <w:lang w:val="vi-VN"/>
        </w:rPr>
        <w:t>án</w:t>
      </w:r>
      <w:r w:rsidRPr="008F0121">
        <w:rPr>
          <w:rFonts w:eastAsia="Arial Unicode MS"/>
          <w:b/>
          <w:color w:val="000000"/>
          <w:u w:color="000000"/>
        </w:rPr>
        <w:t xml:space="preserve"> quan trọng quốc gia; dự án p</w:t>
      </w:r>
      <w:r w:rsidRPr="008F0121">
        <w:rPr>
          <w:rFonts w:eastAsia="Arial Unicode MS"/>
          <w:b/>
          <w:color w:val="000000"/>
          <w:u w:color="000000"/>
          <w:lang w:val="vi-VN"/>
        </w:rPr>
        <w:t>hục vụ quốc phòng, an ninh</w:t>
      </w:r>
      <w:r w:rsidRPr="008F0121">
        <w:rPr>
          <w:rFonts w:eastAsia="Arial Unicode MS"/>
          <w:b/>
          <w:color w:val="000000"/>
          <w:u w:color="000000"/>
        </w:rPr>
        <w:t xml:space="preserve"> quốc gia; dự án </w:t>
      </w:r>
      <w:r w:rsidRPr="008F0121">
        <w:rPr>
          <w:rFonts w:eastAsia="Arial Unicode MS"/>
          <w:b/>
          <w:color w:val="000000"/>
          <w:u w:color="000000"/>
          <w:lang w:val="vi-VN"/>
        </w:rPr>
        <w:t>cấp thiết có chuyển mục đích sử dụng rừng tự nhiên</w:t>
      </w:r>
    </w:p>
    <w:p w14:paraId="0E4EAAE5" w14:textId="77777777" w:rsidR="00065F50" w:rsidRDefault="00065F50" w:rsidP="00065F50">
      <w:pPr>
        <w:spacing w:before="120" w:after="120"/>
        <w:ind w:firstLine="709"/>
        <w:jc w:val="both"/>
        <w:rPr>
          <w:rFonts w:eastAsia="Times New Roman" w:cs="Times New Roman"/>
          <w:color w:val="222222"/>
        </w:rPr>
      </w:pPr>
      <w:r>
        <w:rPr>
          <w:rFonts w:eastAsia="Arial Unicode MS"/>
          <w:color w:val="000000"/>
          <w:u w:color="000000"/>
          <w:lang w:val="vi-VN"/>
        </w:rPr>
        <w:t xml:space="preserve">1. Dự </w:t>
      </w:r>
      <w:r w:rsidRPr="00372FEE">
        <w:rPr>
          <w:rFonts w:eastAsia="Arial Unicode MS"/>
          <w:color w:val="000000"/>
          <w:u w:color="000000"/>
          <w:lang w:val="vi-VN"/>
        </w:rPr>
        <w:t>án</w:t>
      </w:r>
      <w:r w:rsidRPr="00CD1057">
        <w:rPr>
          <w:rFonts w:eastAsia="Arial Unicode MS"/>
          <w:color w:val="000000"/>
          <w:u w:color="000000"/>
        </w:rPr>
        <w:t xml:space="preserve"> quan trọng quốc gia</w:t>
      </w:r>
      <w:r>
        <w:rPr>
          <w:rFonts w:eastAsia="Arial Unicode MS"/>
          <w:color w:val="000000"/>
          <w:u w:color="000000"/>
        </w:rPr>
        <w:t xml:space="preserve"> </w:t>
      </w:r>
      <w:r>
        <w:rPr>
          <w:rFonts w:eastAsia="Times New Roman" w:cs="Times New Roman"/>
          <w:color w:val="222222"/>
        </w:rPr>
        <w:t xml:space="preserve">được </w:t>
      </w:r>
      <w:r>
        <w:rPr>
          <w:rFonts w:eastAsia="Arial Unicode MS"/>
          <w:color w:val="000000"/>
          <w:u w:color="000000"/>
          <w:lang w:val="vi-VN"/>
        </w:rPr>
        <w:t xml:space="preserve">xác định theo </w:t>
      </w:r>
      <w:r>
        <w:rPr>
          <w:rFonts w:eastAsia="Times New Roman" w:cs="Times New Roman"/>
          <w:color w:val="222222"/>
        </w:rPr>
        <w:t xml:space="preserve">quy định tại Điều 7 Luật Đầu tư công năm 2019. </w:t>
      </w:r>
    </w:p>
    <w:p w14:paraId="7AFEBFEC" w14:textId="77777777" w:rsidR="00065F50" w:rsidRDefault="00065F50" w:rsidP="00065F50">
      <w:pPr>
        <w:spacing w:before="120" w:after="120"/>
        <w:ind w:firstLine="709"/>
        <w:jc w:val="both"/>
        <w:rPr>
          <w:rFonts w:eastAsia="Arial Unicode MS"/>
          <w:color w:val="000000"/>
          <w:u w:color="000000"/>
          <w:lang w:val="vi-VN"/>
        </w:rPr>
      </w:pPr>
      <w:r>
        <w:rPr>
          <w:rFonts w:eastAsia="Arial Unicode MS"/>
          <w:color w:val="000000"/>
          <w:u w:color="000000"/>
        </w:rPr>
        <w:t xml:space="preserve">2. </w:t>
      </w:r>
      <w:r>
        <w:rPr>
          <w:rFonts w:eastAsia="Times New Roman" w:cs="Times New Roman"/>
          <w:color w:val="222222"/>
        </w:rPr>
        <w:t>D</w:t>
      </w:r>
      <w:r>
        <w:rPr>
          <w:rFonts w:eastAsia="Arial Unicode MS"/>
          <w:color w:val="000000"/>
          <w:u w:color="000000"/>
        </w:rPr>
        <w:t>ự án p</w:t>
      </w:r>
      <w:r w:rsidRPr="00372FEE">
        <w:rPr>
          <w:rFonts w:eastAsia="Arial Unicode MS"/>
          <w:color w:val="000000"/>
          <w:u w:color="000000"/>
          <w:lang w:val="vi-VN"/>
        </w:rPr>
        <w:t>hục vụ quốc phòng, an ninh</w:t>
      </w:r>
      <w:r>
        <w:rPr>
          <w:rFonts w:eastAsia="Arial Unicode MS"/>
          <w:color w:val="000000"/>
          <w:u w:color="000000"/>
        </w:rPr>
        <w:t xml:space="preserve"> quốc gia</w:t>
      </w:r>
      <w:r>
        <w:rPr>
          <w:rFonts w:eastAsia="Arial Unicode MS"/>
          <w:color w:val="000000"/>
          <w:u w:color="000000"/>
          <w:lang w:val="vi-VN"/>
        </w:rPr>
        <w:t xml:space="preserve"> là các dự án </w:t>
      </w:r>
      <w:r w:rsidRPr="0026274D">
        <w:rPr>
          <w:rFonts w:eastAsia="Times New Roman" w:cs="Times New Roman"/>
          <w:color w:val="222222"/>
        </w:rPr>
        <w:t xml:space="preserve">thuộc một trong các </w:t>
      </w:r>
      <w:r>
        <w:rPr>
          <w:rFonts w:eastAsia="Times New Roman" w:cs="Times New Roman"/>
          <w:color w:val="222222"/>
        </w:rPr>
        <w:t>tiêu chí sau</w:t>
      </w:r>
      <w:r w:rsidRPr="0026274D">
        <w:rPr>
          <w:rFonts w:eastAsia="Times New Roman" w:cs="Times New Roman"/>
          <w:color w:val="222222"/>
        </w:rPr>
        <w:t>:</w:t>
      </w:r>
    </w:p>
    <w:p w14:paraId="1A15AB6F" w14:textId="77777777" w:rsidR="00065F50" w:rsidRPr="00B557A8" w:rsidRDefault="00065F50" w:rsidP="00065F50">
      <w:pPr>
        <w:spacing w:before="120" w:after="120"/>
        <w:ind w:firstLine="709"/>
        <w:jc w:val="both"/>
        <w:rPr>
          <w:rFonts w:eastAsia="Arial Unicode MS"/>
          <w:color w:val="000000"/>
          <w:u w:color="000000"/>
          <w:lang w:val="vi-VN"/>
        </w:rPr>
      </w:pPr>
      <w:r>
        <w:rPr>
          <w:rFonts w:eastAsia="Arial Unicode MS"/>
          <w:color w:val="000000"/>
          <w:u w:color="000000"/>
          <w:lang w:val="vi-VN"/>
        </w:rPr>
        <w:t xml:space="preserve">a) </w:t>
      </w:r>
      <w:r w:rsidRPr="00B557A8">
        <w:rPr>
          <w:rFonts w:eastAsia="Arial Unicode MS"/>
          <w:color w:val="000000"/>
          <w:u w:color="000000"/>
          <w:lang w:val="vi-VN"/>
        </w:rPr>
        <w:t xml:space="preserve">Dự án thuộc lĩnh vực quốc phòng, an ninh có mức độ tuyệt mật </w:t>
      </w:r>
      <w:r>
        <w:rPr>
          <w:rFonts w:eastAsia="Arial Unicode MS"/>
          <w:color w:val="000000"/>
          <w:u w:color="000000"/>
          <w:lang w:val="vi-VN"/>
        </w:rPr>
        <w:t>được xác định t</w:t>
      </w:r>
      <w:r w:rsidRPr="00B557A8">
        <w:rPr>
          <w:rFonts w:eastAsia="Arial Unicode MS"/>
          <w:color w:val="000000"/>
          <w:u w:color="000000"/>
          <w:lang w:val="vi-VN"/>
        </w:rPr>
        <w:t>heo quy định tại điểm a khoản 1 Điều 8 Luật Đầu tư công năm 2019;</w:t>
      </w:r>
    </w:p>
    <w:p w14:paraId="4C5E8DFA" w14:textId="77777777" w:rsidR="00065F50" w:rsidRPr="00B557A8" w:rsidRDefault="00065F50" w:rsidP="00065F50">
      <w:pPr>
        <w:spacing w:before="120" w:after="120"/>
        <w:ind w:firstLine="709"/>
        <w:jc w:val="both"/>
        <w:rPr>
          <w:rFonts w:eastAsia="Arial Unicode MS"/>
          <w:color w:val="000000"/>
          <w:u w:color="000000"/>
          <w:lang w:val="vi-VN"/>
        </w:rPr>
      </w:pPr>
      <w:r w:rsidRPr="00B557A8">
        <w:rPr>
          <w:rFonts w:eastAsia="Arial Unicode MS"/>
          <w:color w:val="000000"/>
          <w:u w:color="000000"/>
          <w:lang w:val="vi-VN"/>
        </w:rPr>
        <w:t xml:space="preserve">b) Dự án đầu tư công </w:t>
      </w:r>
      <w:r>
        <w:rPr>
          <w:rFonts w:eastAsia="Arial Unicode MS"/>
          <w:color w:val="000000"/>
          <w:u w:color="000000"/>
          <w:lang w:val="vi-VN"/>
        </w:rPr>
        <w:t xml:space="preserve">thuộc lĩnh vực quốc phòng, an ninh </w:t>
      </w:r>
      <w:r w:rsidRPr="00B557A8">
        <w:rPr>
          <w:rFonts w:eastAsia="Arial Unicode MS"/>
          <w:color w:val="000000"/>
          <w:u w:color="000000"/>
          <w:lang w:val="vi-VN"/>
        </w:rPr>
        <w:t xml:space="preserve">sử dụng ngân sách </w:t>
      </w:r>
      <w:r>
        <w:rPr>
          <w:rFonts w:eastAsia="Arial Unicode MS"/>
          <w:color w:val="000000"/>
          <w:u w:color="000000"/>
          <w:lang w:val="vi-VN"/>
        </w:rPr>
        <w:t xml:space="preserve">an ninh </w:t>
      </w:r>
      <w:r w:rsidRPr="00B557A8">
        <w:rPr>
          <w:rFonts w:eastAsia="Arial Unicode MS"/>
          <w:color w:val="000000"/>
          <w:u w:color="000000"/>
          <w:lang w:val="vi-VN"/>
        </w:rPr>
        <w:t>quố</w:t>
      </w:r>
      <w:r>
        <w:rPr>
          <w:rFonts w:eastAsia="Arial Unicode MS"/>
          <w:color w:val="000000"/>
          <w:u w:color="000000"/>
          <w:lang w:val="vi-VN"/>
        </w:rPr>
        <w:t>c phòng</w:t>
      </w:r>
      <w:r w:rsidRPr="00B312F6">
        <w:rPr>
          <w:rFonts w:eastAsia="Calibri" w:cs="Times New Roman"/>
          <w:szCs w:val="28"/>
          <w:lang w:val="da-DK"/>
        </w:rPr>
        <w:t xml:space="preserve">; </w:t>
      </w:r>
      <w:r w:rsidRPr="00B557A8">
        <w:rPr>
          <w:rFonts w:eastAsia="Arial Unicode MS"/>
          <w:color w:val="000000"/>
          <w:u w:color="000000"/>
          <w:lang w:val="vi-VN"/>
        </w:rPr>
        <w:t>các dự án nhằm kịp thời thực hiện nhiệm vụ cấp bách để bảo đảm quốc phòng, an ninh</w:t>
      </w:r>
      <w:r>
        <w:rPr>
          <w:rFonts w:eastAsia="Arial Unicode MS"/>
          <w:color w:val="000000"/>
          <w:u w:color="000000"/>
          <w:lang w:val="vi-VN"/>
        </w:rPr>
        <w:t xml:space="preserve"> theo quy định của Luật Đầu tư công năm 2019.</w:t>
      </w:r>
    </w:p>
    <w:p w14:paraId="627982B0" w14:textId="77777777" w:rsidR="00065F50" w:rsidRPr="00CD62D0" w:rsidRDefault="00065F50" w:rsidP="00065F50">
      <w:pPr>
        <w:spacing w:before="120" w:after="120"/>
        <w:ind w:firstLine="709"/>
        <w:jc w:val="both"/>
        <w:rPr>
          <w:rFonts w:eastAsia="Arial Unicode MS"/>
          <w:color w:val="000000"/>
          <w:u w:color="000000"/>
          <w:lang w:val="vi-VN"/>
        </w:rPr>
      </w:pPr>
      <w:r w:rsidRPr="00CD62D0">
        <w:rPr>
          <w:rFonts w:eastAsia="Arial Unicode MS"/>
          <w:color w:val="000000"/>
          <w:u w:color="000000"/>
          <w:lang w:val="vi-VN"/>
        </w:rPr>
        <w:t xml:space="preserve">3. Dự án </w:t>
      </w:r>
      <w:r w:rsidRPr="00372FEE">
        <w:rPr>
          <w:rFonts w:eastAsia="Arial Unicode MS"/>
          <w:color w:val="000000"/>
          <w:u w:color="000000"/>
          <w:lang w:val="vi-VN"/>
        </w:rPr>
        <w:t xml:space="preserve">cấp thiết </w:t>
      </w:r>
      <w:r>
        <w:rPr>
          <w:rFonts w:eastAsia="Arial Unicode MS"/>
          <w:color w:val="000000"/>
          <w:u w:color="000000"/>
          <w:lang w:val="vi-VN"/>
        </w:rPr>
        <w:t xml:space="preserve">có chuyển mục đích sử dụng rừng tự nhiên là các dự án </w:t>
      </w:r>
      <w:r w:rsidRPr="00CD62D0">
        <w:rPr>
          <w:rFonts w:eastAsia="Arial Unicode MS"/>
          <w:color w:val="000000"/>
          <w:u w:color="000000"/>
          <w:lang w:val="vi-VN"/>
        </w:rPr>
        <w:t>thuộc một trong các tiêu chí dưới đây:</w:t>
      </w:r>
    </w:p>
    <w:p w14:paraId="6A979617" w14:textId="77777777" w:rsidR="00065F50" w:rsidRDefault="00065F50" w:rsidP="00065F50">
      <w:pPr>
        <w:spacing w:before="120" w:after="120"/>
        <w:ind w:firstLine="709"/>
        <w:jc w:val="both"/>
        <w:rPr>
          <w:rFonts w:eastAsia="Arial Unicode MS"/>
          <w:color w:val="000000"/>
          <w:u w:color="000000"/>
          <w:lang w:val="vi-VN"/>
        </w:rPr>
      </w:pPr>
      <w:r w:rsidRPr="00CD62D0">
        <w:rPr>
          <w:rFonts w:eastAsia="Arial Unicode MS"/>
          <w:color w:val="000000"/>
          <w:u w:color="000000"/>
          <w:lang w:val="vi-VN"/>
        </w:rPr>
        <w:t>a) Dự án phục vụ bố trí, sắp xếp dân cư</w:t>
      </w:r>
      <w:r>
        <w:rPr>
          <w:rFonts w:eastAsia="Arial Unicode MS"/>
          <w:color w:val="000000"/>
          <w:u w:color="000000"/>
          <w:lang w:val="vi-VN"/>
        </w:rPr>
        <w:t xml:space="preserve"> trong kế hoạch đầu tư công, được Chủ tịch Uỷ ban nhân dân cấp tỉnh xác nhận không có phương án bố trí, lựa chọn vị trí khác mà phải sử dụng đất rừng tự nhiên;</w:t>
      </w:r>
    </w:p>
    <w:p w14:paraId="5465EFBC" w14:textId="77777777" w:rsidR="00065F50" w:rsidRDefault="00065F50" w:rsidP="00065F50">
      <w:pPr>
        <w:spacing w:before="120" w:after="120"/>
        <w:ind w:firstLine="709"/>
        <w:jc w:val="both"/>
        <w:rPr>
          <w:rFonts w:eastAsia="Arial Unicode MS"/>
          <w:color w:val="000000"/>
          <w:u w:color="000000"/>
          <w:lang w:val="vi-VN"/>
        </w:rPr>
      </w:pPr>
      <w:r>
        <w:rPr>
          <w:rFonts w:eastAsia="Arial Unicode MS"/>
          <w:color w:val="000000"/>
          <w:u w:color="000000"/>
          <w:lang w:val="vi-VN"/>
        </w:rPr>
        <w:t xml:space="preserve">b) </w:t>
      </w:r>
      <w:r w:rsidRPr="00CD62D0">
        <w:rPr>
          <w:rFonts w:eastAsia="Arial Unicode MS"/>
          <w:color w:val="000000"/>
          <w:u w:color="000000"/>
          <w:lang w:val="vi-VN"/>
        </w:rPr>
        <w:t xml:space="preserve">Dự án </w:t>
      </w:r>
      <w:r>
        <w:rPr>
          <w:rFonts w:eastAsia="Arial Unicode MS"/>
          <w:color w:val="000000"/>
          <w:u w:color="000000"/>
          <w:lang w:val="vi-VN"/>
        </w:rPr>
        <w:t>kết cấu hạ tầng kinh tế - xã hội (</w:t>
      </w:r>
      <w:r w:rsidRPr="00361C4C">
        <w:rPr>
          <w:rFonts w:eastAsia="Arial Unicode MS"/>
          <w:color w:val="000000"/>
          <w:u w:color="000000"/>
          <w:lang w:val="vi-VN"/>
        </w:rPr>
        <w:t xml:space="preserve">giao thông; thuỷ lợi; cấp thoát nước, xử lý rác thải và công trình hạ tầng kỹ thuật khác; bưu chính, viễn thông; y tế, văn hóa, giáo dục; nghiên cứu khoa học, công nghệ thông tin, phát thanh, </w:t>
      </w:r>
      <w:r w:rsidRPr="00361C4C">
        <w:rPr>
          <w:rFonts w:eastAsia="Arial Unicode MS"/>
          <w:color w:val="000000"/>
          <w:u w:color="000000"/>
          <w:lang w:val="vi-VN"/>
        </w:rPr>
        <w:lastRenderedPageBreak/>
        <w:t>truyền hình...</w:t>
      </w:r>
      <w:r w:rsidRPr="00331399">
        <w:rPr>
          <w:rFonts w:eastAsia="Arial Unicode MS"/>
          <w:color w:val="000000"/>
          <w:u w:color="000000"/>
          <w:lang w:val="vi-VN"/>
        </w:rPr>
        <w:t>)</w:t>
      </w:r>
      <w:r>
        <w:rPr>
          <w:rFonts w:eastAsia="Arial Unicode MS"/>
          <w:color w:val="000000"/>
          <w:u w:color="000000"/>
          <w:lang w:val="vi-VN"/>
        </w:rPr>
        <w:t>; t</w:t>
      </w:r>
      <w:r w:rsidRPr="00331399">
        <w:rPr>
          <w:rFonts w:eastAsia="Arial Unicode MS"/>
          <w:color w:val="000000"/>
          <w:u w:color="000000"/>
          <w:lang w:val="vi-VN"/>
        </w:rPr>
        <w:t>rụ sở cơ quan nhà nước và tổ chức chính trị, trụ sở làm việc của các đơn vị sự nghiệp, doanh nghiệp, các tổ chức chính trị xã hội và tổ chức khác</w:t>
      </w:r>
      <w:r>
        <w:rPr>
          <w:rFonts w:eastAsia="Arial Unicode MS"/>
          <w:color w:val="000000"/>
          <w:u w:color="000000"/>
          <w:lang w:val="vi-VN"/>
        </w:rPr>
        <w:t xml:space="preserve">; </w:t>
      </w:r>
      <w:r w:rsidRPr="00E56F4E">
        <w:rPr>
          <w:rFonts w:cs="Times New Roman"/>
          <w:color w:val="000000"/>
          <w:szCs w:val="28"/>
          <w:lang w:val="vi-VN"/>
        </w:rPr>
        <w:t xml:space="preserve"> </w:t>
      </w:r>
    </w:p>
    <w:p w14:paraId="65AAD10B" w14:textId="36F1A2E1" w:rsidR="00065F50" w:rsidRDefault="00065F50" w:rsidP="00065F50">
      <w:pPr>
        <w:spacing w:before="120" w:after="120"/>
        <w:ind w:firstLine="709"/>
        <w:jc w:val="both"/>
        <w:rPr>
          <w:rFonts w:eastAsia="Arial Unicode MS"/>
          <w:color w:val="000000"/>
          <w:u w:color="000000"/>
          <w:lang w:val="vi-VN"/>
        </w:rPr>
      </w:pPr>
      <w:r w:rsidRPr="00260488">
        <w:rPr>
          <w:rFonts w:eastAsia="Arial Unicode MS"/>
          <w:color w:val="000000"/>
          <w:u w:color="000000"/>
          <w:lang w:val="vi-VN"/>
        </w:rPr>
        <w:t xml:space="preserve">c) Các dự án đầu tư công thuộc các lĩnh vực: Dự án hạ tầng khu công nghiệp, khu chế xuất, khu công nghệ cao; </w:t>
      </w:r>
      <w:r>
        <w:rPr>
          <w:rFonts w:eastAsia="Arial Unicode MS"/>
          <w:color w:val="000000"/>
          <w:u w:color="000000"/>
          <w:lang w:val="vi-VN"/>
        </w:rPr>
        <w:t>c</w:t>
      </w:r>
      <w:r w:rsidRPr="00260488">
        <w:rPr>
          <w:rFonts w:eastAsia="Arial Unicode MS"/>
          <w:color w:val="000000"/>
          <w:u w:color="000000"/>
          <w:lang w:val="vi-VN"/>
        </w:rPr>
        <w:t xml:space="preserve">ông nghiệp điện; </w:t>
      </w:r>
      <w:r w:rsidR="000767FF">
        <w:rPr>
          <w:rFonts w:eastAsia="Arial Unicode MS"/>
          <w:color w:val="000000"/>
          <w:u w:color="000000"/>
        </w:rPr>
        <w:t xml:space="preserve">khai khoáng; </w:t>
      </w:r>
      <w:r>
        <w:rPr>
          <w:rFonts w:eastAsia="Arial Unicode MS"/>
          <w:color w:val="000000"/>
          <w:u w:color="000000"/>
          <w:lang w:val="vi-VN"/>
        </w:rPr>
        <w:t>đ</w:t>
      </w:r>
      <w:r w:rsidRPr="0035361A">
        <w:rPr>
          <w:rFonts w:eastAsia="Arial Unicode MS"/>
          <w:color w:val="000000"/>
          <w:u w:color="000000"/>
          <w:lang w:val="vi-VN"/>
        </w:rPr>
        <w:t>ầu tư và hỗ trợ hoạt động đầu tư cung cấp sản phẩm, dịch vụ công ích, phúc lợi xã hộ</w:t>
      </w:r>
      <w:r>
        <w:rPr>
          <w:rFonts w:eastAsia="Arial Unicode MS"/>
          <w:color w:val="000000"/>
          <w:u w:color="000000"/>
          <w:lang w:val="vi-VN"/>
        </w:rPr>
        <w:t>i và xây dựng công trình công cộng</w:t>
      </w:r>
      <w:r w:rsidRPr="00822D2B">
        <w:rPr>
          <w:rFonts w:eastAsia="Arial Unicode MS"/>
          <w:color w:val="000000"/>
          <w:u w:color="000000"/>
          <w:lang w:val="vi-VN"/>
        </w:rPr>
        <w:t xml:space="preserve"> </w:t>
      </w:r>
      <w:r>
        <w:rPr>
          <w:rFonts w:eastAsia="Arial Unicode MS"/>
          <w:color w:val="000000"/>
          <w:u w:color="000000"/>
          <w:lang w:val="vi-VN"/>
        </w:rPr>
        <w:t>khác;</w:t>
      </w:r>
    </w:p>
    <w:p w14:paraId="6522735A" w14:textId="77777777" w:rsidR="00065F50" w:rsidRPr="00260488" w:rsidRDefault="00065F50" w:rsidP="00065F50">
      <w:pPr>
        <w:spacing w:before="120" w:after="120"/>
        <w:ind w:firstLine="709"/>
        <w:jc w:val="both"/>
        <w:rPr>
          <w:rFonts w:eastAsia="Arial Unicode MS"/>
          <w:color w:val="000000"/>
          <w:u w:color="000000"/>
          <w:lang w:val="vi-VN"/>
        </w:rPr>
      </w:pPr>
      <w:r>
        <w:rPr>
          <w:rFonts w:eastAsia="Arial Unicode MS"/>
          <w:color w:val="000000"/>
          <w:u w:color="000000"/>
          <w:lang w:val="vi-VN"/>
        </w:rPr>
        <w:t xml:space="preserve">d) </w:t>
      </w:r>
      <w:r w:rsidRPr="00822D2B">
        <w:rPr>
          <w:rFonts w:eastAsia="Arial Unicode MS"/>
          <w:color w:val="000000"/>
          <w:u w:color="000000"/>
          <w:lang w:val="vi-VN"/>
        </w:rPr>
        <w:t>Dự</w:t>
      </w:r>
      <w:r>
        <w:rPr>
          <w:rFonts w:eastAsia="Arial Unicode MS"/>
          <w:color w:val="000000"/>
          <w:u w:color="000000"/>
          <w:lang w:val="vi-VN"/>
        </w:rPr>
        <w:t xml:space="preserve"> án</w:t>
      </w:r>
      <w:r w:rsidRPr="00260488">
        <w:rPr>
          <w:rFonts w:eastAsia="Arial Unicode MS"/>
          <w:color w:val="000000"/>
          <w:u w:color="000000"/>
          <w:lang w:val="vi-VN"/>
        </w:rPr>
        <w:t xml:space="preserve"> đầu tư công nhằm kịp thời phòng, chống, khắc phục hậu quả thiên tai, thảm họa, dịch bệnh; nhiệm vụ cấp bách đối ngoại theo quyết định của cấp có thẩm quyền;</w:t>
      </w:r>
    </w:p>
    <w:p w14:paraId="75B03429" w14:textId="77777777" w:rsidR="00065F50" w:rsidRPr="00CD62D0" w:rsidRDefault="00065F50" w:rsidP="00065F50">
      <w:pPr>
        <w:spacing w:before="120" w:after="120"/>
        <w:ind w:firstLine="709"/>
        <w:jc w:val="both"/>
        <w:rPr>
          <w:rFonts w:eastAsia="Arial Unicode MS"/>
          <w:color w:val="000000"/>
          <w:u w:color="000000"/>
          <w:lang w:val="vi-VN"/>
        </w:rPr>
      </w:pPr>
      <w:r>
        <w:rPr>
          <w:rFonts w:eastAsia="Arial Unicode MS"/>
          <w:color w:val="000000"/>
          <w:u w:color="000000"/>
          <w:lang w:val="vi-VN"/>
        </w:rPr>
        <w:t>đ)</w:t>
      </w:r>
      <w:r w:rsidRPr="00CD62D0">
        <w:rPr>
          <w:rFonts w:eastAsia="Arial Unicode MS"/>
          <w:color w:val="000000"/>
          <w:u w:color="000000"/>
          <w:lang w:val="vi-VN"/>
        </w:rPr>
        <w:t xml:space="preserve"> Dự án </w:t>
      </w:r>
      <w:r>
        <w:rPr>
          <w:rFonts w:eastAsia="Arial Unicode MS"/>
          <w:color w:val="000000"/>
          <w:u w:color="000000"/>
          <w:lang w:val="vi-VN"/>
        </w:rPr>
        <w:t>đầu tư</w:t>
      </w:r>
      <w:r w:rsidRPr="00CD62D0">
        <w:rPr>
          <w:rFonts w:eastAsia="Arial Unicode MS"/>
          <w:color w:val="000000"/>
          <w:u w:color="000000"/>
          <w:lang w:val="vi-VN"/>
        </w:rPr>
        <w:t xml:space="preserve"> </w:t>
      </w:r>
      <w:r>
        <w:rPr>
          <w:rFonts w:eastAsia="Arial Unicode MS"/>
          <w:color w:val="000000"/>
          <w:u w:color="000000"/>
          <w:lang w:val="vi-VN"/>
        </w:rPr>
        <w:t xml:space="preserve">đã được phê duyệt theo quy định của pháp luật và đang </w:t>
      </w:r>
      <w:r w:rsidRPr="00CD62D0">
        <w:rPr>
          <w:rFonts w:eastAsia="Arial Unicode MS"/>
          <w:color w:val="000000"/>
          <w:u w:color="000000"/>
          <w:lang w:val="vi-VN"/>
        </w:rPr>
        <w:t xml:space="preserve">triển khai thực </w:t>
      </w:r>
      <w:r>
        <w:rPr>
          <w:rFonts w:eastAsia="Arial Unicode MS"/>
          <w:color w:val="000000"/>
          <w:u w:color="000000"/>
          <w:lang w:val="vi-VN"/>
        </w:rPr>
        <w:t xml:space="preserve">hiện </w:t>
      </w:r>
      <w:r w:rsidRPr="00CD62D0">
        <w:rPr>
          <w:rFonts w:eastAsia="Arial Unicode MS"/>
          <w:color w:val="000000"/>
          <w:u w:color="000000"/>
          <w:lang w:val="vi-VN"/>
        </w:rPr>
        <w:t>trước ngày 01 tháng 01 năm 2019</w:t>
      </w:r>
      <w:r>
        <w:rPr>
          <w:rFonts w:eastAsia="Arial Unicode MS"/>
          <w:color w:val="000000"/>
          <w:u w:color="000000"/>
          <w:lang w:val="vi-VN"/>
        </w:rPr>
        <w:t xml:space="preserve">, sau khi rà soát, </w:t>
      </w:r>
      <w:r w:rsidRPr="007947E1">
        <w:rPr>
          <w:rFonts w:eastAsia="Arial Unicode MS"/>
          <w:color w:val="000000"/>
          <w:u w:color="000000"/>
          <w:lang w:val="vi-VN"/>
        </w:rPr>
        <w:t xml:space="preserve">nhưng </w:t>
      </w:r>
      <w:r>
        <w:rPr>
          <w:rFonts w:eastAsia="Arial Unicode MS"/>
          <w:color w:val="000000"/>
          <w:u w:color="000000"/>
          <w:lang w:val="vi-VN"/>
        </w:rPr>
        <w:t xml:space="preserve">không có phương án điều chỉnh mà </w:t>
      </w:r>
      <w:r w:rsidRPr="007947E1">
        <w:rPr>
          <w:rFonts w:eastAsia="Arial Unicode MS"/>
          <w:color w:val="000000"/>
          <w:u w:color="000000"/>
          <w:lang w:val="vi-VN"/>
        </w:rPr>
        <w:t>vẫn cần thiết phải chuyển mục đích sử dụng rừng tự nhiên</w:t>
      </w:r>
      <w:r>
        <w:rPr>
          <w:rFonts w:eastAsia="Arial Unicode MS"/>
          <w:color w:val="000000"/>
          <w:u w:color="000000"/>
          <w:lang w:val="vi-VN"/>
        </w:rPr>
        <w:t xml:space="preserve"> để tiếp tục thực hiện</w:t>
      </w:r>
      <w:r w:rsidRPr="00CD62D0">
        <w:rPr>
          <w:rFonts w:eastAsia="Arial Unicode MS"/>
          <w:color w:val="000000"/>
          <w:u w:color="000000"/>
          <w:lang w:val="vi-VN"/>
        </w:rPr>
        <w:t>;</w:t>
      </w:r>
    </w:p>
    <w:p w14:paraId="03CDFB64" w14:textId="77777777" w:rsidR="00065F50" w:rsidRDefault="00065F50" w:rsidP="00065F50">
      <w:pPr>
        <w:spacing w:before="120" w:after="120"/>
        <w:ind w:firstLine="709"/>
        <w:jc w:val="both"/>
        <w:rPr>
          <w:rFonts w:eastAsia="Arial Unicode MS"/>
          <w:color w:val="000000"/>
          <w:u w:color="000000"/>
          <w:lang w:val="vi-VN"/>
        </w:rPr>
      </w:pPr>
      <w:r>
        <w:rPr>
          <w:rFonts w:eastAsia="Arial Unicode MS"/>
          <w:color w:val="000000"/>
          <w:u w:color="000000"/>
          <w:lang w:val="vi-VN"/>
        </w:rPr>
        <w:t xml:space="preserve">e) </w:t>
      </w:r>
      <w:r w:rsidRPr="00CD62D0">
        <w:rPr>
          <w:rFonts w:eastAsia="Arial Unicode MS"/>
          <w:color w:val="000000"/>
          <w:u w:color="000000"/>
          <w:lang w:val="vi-VN"/>
        </w:rPr>
        <w:t xml:space="preserve">Các dự án </w:t>
      </w:r>
      <w:r>
        <w:rPr>
          <w:rFonts w:eastAsia="Arial Unicode MS"/>
          <w:color w:val="000000"/>
          <w:u w:color="000000"/>
          <w:lang w:val="vi-VN"/>
        </w:rPr>
        <w:t>khác được</w:t>
      </w:r>
      <w:r w:rsidRPr="00CD62D0">
        <w:rPr>
          <w:rFonts w:eastAsia="Arial Unicode MS"/>
          <w:color w:val="000000"/>
          <w:u w:color="000000"/>
          <w:lang w:val="vi-VN"/>
        </w:rPr>
        <w:t xml:space="preserve"> Thủ tướng Chính phủ quyết định.</w:t>
      </w:r>
    </w:p>
    <w:p w14:paraId="1031CD6C" w14:textId="77777777" w:rsidR="00065F50" w:rsidRPr="003D1525" w:rsidRDefault="00065F50" w:rsidP="00065F50">
      <w:pPr>
        <w:spacing w:before="120" w:after="120"/>
        <w:rPr>
          <w:rFonts w:cs="Times New Roman"/>
          <w:b/>
          <w:szCs w:val="28"/>
        </w:rPr>
      </w:pPr>
      <w:r>
        <w:tab/>
      </w:r>
      <w:bookmarkStart w:id="3" w:name="dieu_90"/>
      <w:bookmarkStart w:id="4" w:name="dieu_92"/>
      <w:r w:rsidRPr="003D1525">
        <w:rPr>
          <w:rFonts w:cs="Times New Roman"/>
          <w:b/>
          <w:szCs w:val="28"/>
        </w:rPr>
        <w:t>Điều</w:t>
      </w:r>
      <w:r>
        <w:rPr>
          <w:rFonts w:cs="Times New Roman"/>
          <w:b/>
          <w:szCs w:val="28"/>
        </w:rPr>
        <w:t xml:space="preserve"> 2</w:t>
      </w:r>
      <w:r w:rsidRPr="003D1525">
        <w:rPr>
          <w:rFonts w:cs="Times New Roman"/>
          <w:b/>
          <w:szCs w:val="28"/>
        </w:rPr>
        <w:t xml:space="preserve">. </w:t>
      </w:r>
      <w:r>
        <w:rPr>
          <w:rFonts w:cs="Times New Roman"/>
          <w:b/>
          <w:szCs w:val="28"/>
        </w:rPr>
        <w:t xml:space="preserve">Điều khoản </w:t>
      </w:r>
      <w:r w:rsidRPr="003D1525">
        <w:rPr>
          <w:rFonts w:cs="Times New Roman"/>
          <w:b/>
          <w:szCs w:val="28"/>
        </w:rPr>
        <w:t>thi hành</w:t>
      </w:r>
      <w:bookmarkEnd w:id="3"/>
    </w:p>
    <w:p w14:paraId="61A27482" w14:textId="77777777" w:rsidR="00065F50" w:rsidRPr="003D1525" w:rsidRDefault="00065F50" w:rsidP="00065F50">
      <w:pPr>
        <w:spacing w:before="120" w:after="120"/>
        <w:ind w:firstLine="709"/>
        <w:jc w:val="both"/>
        <w:rPr>
          <w:rFonts w:cs="Times New Roman"/>
          <w:szCs w:val="28"/>
        </w:rPr>
      </w:pPr>
      <w:r w:rsidRPr="003D1525">
        <w:rPr>
          <w:rFonts w:cs="Times New Roman"/>
          <w:szCs w:val="28"/>
        </w:rPr>
        <w:t>Nghị định này có hiệu lực thi hành từ</w:t>
      </w:r>
      <w:r>
        <w:rPr>
          <w:rFonts w:cs="Times New Roman"/>
          <w:szCs w:val="28"/>
        </w:rPr>
        <w:t xml:space="preserve"> ngày ... tháng ... năm 2020</w:t>
      </w:r>
      <w:r w:rsidRPr="003D1525">
        <w:rPr>
          <w:rFonts w:cs="Times New Roman"/>
          <w:szCs w:val="28"/>
        </w:rPr>
        <w:t>.</w:t>
      </w:r>
    </w:p>
    <w:p w14:paraId="305C9BFC" w14:textId="77777777" w:rsidR="00065F50" w:rsidRPr="003D1525" w:rsidRDefault="00065F50" w:rsidP="00065F50">
      <w:pPr>
        <w:spacing w:before="120" w:after="120"/>
        <w:ind w:firstLine="709"/>
        <w:jc w:val="both"/>
        <w:rPr>
          <w:rFonts w:cs="Times New Roman"/>
          <w:b/>
          <w:szCs w:val="28"/>
        </w:rPr>
      </w:pPr>
      <w:r w:rsidRPr="003D1525">
        <w:rPr>
          <w:rFonts w:cs="Times New Roman"/>
          <w:b/>
          <w:szCs w:val="28"/>
        </w:rPr>
        <w:t>Điề</w:t>
      </w:r>
      <w:r>
        <w:rPr>
          <w:rFonts w:cs="Times New Roman"/>
          <w:b/>
          <w:szCs w:val="28"/>
        </w:rPr>
        <w:t>u 3</w:t>
      </w:r>
      <w:r w:rsidRPr="003D1525">
        <w:rPr>
          <w:rFonts w:cs="Times New Roman"/>
          <w:b/>
          <w:szCs w:val="28"/>
        </w:rPr>
        <w:t xml:space="preserve">. Trách nhiệm </w:t>
      </w:r>
      <w:r>
        <w:rPr>
          <w:rFonts w:cs="Times New Roman"/>
          <w:b/>
          <w:szCs w:val="28"/>
        </w:rPr>
        <w:t>tổ chức thực hiện</w:t>
      </w:r>
      <w:bookmarkEnd w:id="4"/>
    </w:p>
    <w:p w14:paraId="6BD8D694" w14:textId="77777777" w:rsidR="00065F50" w:rsidRPr="003D1525" w:rsidRDefault="00065F50" w:rsidP="00065F50">
      <w:pPr>
        <w:spacing w:before="120" w:after="120"/>
        <w:ind w:firstLine="709"/>
        <w:jc w:val="both"/>
        <w:rPr>
          <w:rFonts w:cs="Times New Roman"/>
          <w:szCs w:val="28"/>
        </w:rPr>
      </w:pPr>
      <w:r w:rsidRPr="003D1525">
        <w:rPr>
          <w:rFonts w:cs="Times New Roman"/>
          <w:szCs w:val="28"/>
        </w:rPr>
        <w:t>Các Bộ trưởng, Thủ trưởng cơ quan ngang bộ, Thủ trưởng cơ quan thuộc Chính phủ, Chủ tịch Ủy ban nhân dân các tỉnh, thành phố trực thuộc trung ương và các cơ quan, tổ chức cá nhân có liên quan chịu trách nhiệm thi hành Nghị định này./.</w:t>
      </w:r>
    </w:p>
    <w:tbl>
      <w:tblPr>
        <w:tblW w:w="9175" w:type="dxa"/>
        <w:tblLook w:val="01E0" w:firstRow="1" w:lastRow="1" w:firstColumn="1" w:lastColumn="1" w:noHBand="0" w:noVBand="0"/>
      </w:tblPr>
      <w:tblGrid>
        <w:gridCol w:w="5674"/>
        <w:gridCol w:w="3501"/>
      </w:tblGrid>
      <w:tr w:rsidR="00065F50" w:rsidRPr="003D1525" w14:paraId="5EDD99E7" w14:textId="77777777" w:rsidTr="0097554B">
        <w:tc>
          <w:tcPr>
            <w:tcW w:w="5674" w:type="dxa"/>
          </w:tcPr>
          <w:p w14:paraId="78ACE944" w14:textId="77777777" w:rsidR="00065F50" w:rsidRPr="006B4078" w:rsidRDefault="00065F50" w:rsidP="0097554B">
            <w:pPr>
              <w:spacing w:before="120"/>
              <w:rPr>
                <w:rFonts w:eastAsia="Times New Roman" w:cs="Times New Roman"/>
                <w:sz w:val="22"/>
                <w:szCs w:val="22"/>
              </w:rPr>
            </w:pPr>
            <w:r w:rsidRPr="006B4078">
              <w:rPr>
                <w:rFonts w:eastAsia="Times New Roman" w:cs="Times New Roman"/>
                <w:b/>
                <w:i/>
                <w:sz w:val="22"/>
                <w:szCs w:val="22"/>
              </w:rPr>
              <w:br/>
            </w:r>
            <w:r w:rsidRPr="008A01D4">
              <w:rPr>
                <w:rFonts w:eastAsia="Times New Roman" w:cs="Times New Roman"/>
                <w:b/>
                <w:i/>
                <w:sz w:val="24"/>
              </w:rPr>
              <w:t>Nơi nhận:</w:t>
            </w:r>
            <w:r w:rsidRPr="006B4078">
              <w:rPr>
                <w:rFonts w:eastAsia="Times New Roman" w:cs="Times New Roman"/>
                <w:b/>
                <w:i/>
                <w:sz w:val="22"/>
                <w:szCs w:val="22"/>
              </w:rPr>
              <w:br/>
            </w:r>
            <w:r w:rsidRPr="006B4078">
              <w:rPr>
                <w:rFonts w:eastAsia="Times New Roman" w:cs="Times New Roman"/>
                <w:sz w:val="22"/>
                <w:szCs w:val="22"/>
              </w:rPr>
              <w:t>- Ban Bí thư Trung ương Đảng;</w:t>
            </w:r>
            <w:r w:rsidRPr="006B4078">
              <w:rPr>
                <w:rFonts w:eastAsia="Times New Roman" w:cs="Times New Roman"/>
                <w:sz w:val="22"/>
                <w:szCs w:val="22"/>
              </w:rPr>
              <w:br/>
              <w:t>- Thủ tướng, các Phó Thủ tướng Chính phủ;</w:t>
            </w:r>
            <w:r w:rsidRPr="006B4078">
              <w:rPr>
                <w:rFonts w:eastAsia="Times New Roman" w:cs="Times New Roman"/>
                <w:sz w:val="22"/>
                <w:szCs w:val="22"/>
              </w:rPr>
              <w:br/>
              <w:t>- Các bộ, cơ quan ngang bộ, cơ quan thuộc Chính phủ;</w:t>
            </w:r>
            <w:r w:rsidRPr="006B4078">
              <w:rPr>
                <w:rFonts w:eastAsia="Times New Roman" w:cs="Times New Roman"/>
                <w:sz w:val="22"/>
                <w:szCs w:val="22"/>
              </w:rPr>
              <w:br/>
              <w:t>- HĐND, UBND các tỉnh, thành phố trực thuộc trung ương;</w:t>
            </w:r>
            <w:r w:rsidRPr="006B4078">
              <w:rPr>
                <w:rFonts w:eastAsia="Times New Roman" w:cs="Times New Roman"/>
                <w:sz w:val="22"/>
                <w:szCs w:val="22"/>
              </w:rPr>
              <w:br/>
              <w:t>- Văn phòng Trung ương và các Ban của Đảng;</w:t>
            </w:r>
            <w:r w:rsidRPr="006B4078">
              <w:rPr>
                <w:rFonts w:eastAsia="Times New Roman" w:cs="Times New Roman"/>
                <w:sz w:val="22"/>
                <w:szCs w:val="22"/>
              </w:rPr>
              <w:br/>
              <w:t>- Văn phòng Tổng Bí thư;</w:t>
            </w:r>
            <w:r w:rsidRPr="006B4078">
              <w:rPr>
                <w:rFonts w:eastAsia="Times New Roman" w:cs="Times New Roman"/>
                <w:sz w:val="22"/>
                <w:szCs w:val="22"/>
              </w:rPr>
              <w:br/>
              <w:t>- Văn phòng Chủ tịch nước;</w:t>
            </w:r>
            <w:r w:rsidRPr="006B4078">
              <w:rPr>
                <w:rFonts w:eastAsia="Times New Roman" w:cs="Times New Roman"/>
                <w:sz w:val="22"/>
                <w:szCs w:val="22"/>
              </w:rPr>
              <w:br/>
              <w:t>- Hội đồng dân tộc và các Ủy ban của Quốc hội;</w:t>
            </w:r>
            <w:r w:rsidRPr="006B4078">
              <w:rPr>
                <w:rFonts w:eastAsia="Times New Roman" w:cs="Times New Roman"/>
                <w:sz w:val="22"/>
                <w:szCs w:val="22"/>
              </w:rPr>
              <w:br/>
              <w:t>- Văn phòng Quốc hội;</w:t>
            </w:r>
            <w:r w:rsidRPr="006B4078">
              <w:rPr>
                <w:rFonts w:eastAsia="Times New Roman" w:cs="Times New Roman"/>
                <w:sz w:val="22"/>
                <w:szCs w:val="22"/>
              </w:rPr>
              <w:br/>
              <w:t>- Tòa án nhân dân tối cao;</w:t>
            </w:r>
            <w:r w:rsidRPr="006B4078">
              <w:rPr>
                <w:rFonts w:eastAsia="Times New Roman" w:cs="Times New Roman"/>
                <w:sz w:val="22"/>
                <w:szCs w:val="22"/>
              </w:rPr>
              <w:br/>
              <w:t>- Viện kiểm sát nhân dân tối cao;</w:t>
            </w:r>
            <w:r w:rsidRPr="006B4078">
              <w:rPr>
                <w:rFonts w:eastAsia="Times New Roman" w:cs="Times New Roman"/>
                <w:sz w:val="22"/>
                <w:szCs w:val="22"/>
              </w:rPr>
              <w:br/>
              <w:t>- Kiểm toán nhà nước;</w:t>
            </w:r>
            <w:r w:rsidRPr="006B4078">
              <w:rPr>
                <w:rFonts w:eastAsia="Times New Roman" w:cs="Times New Roman"/>
                <w:sz w:val="22"/>
                <w:szCs w:val="22"/>
              </w:rPr>
              <w:br/>
              <w:t>- Ủy ban Giám sát tài chính Quốc gia;</w:t>
            </w:r>
            <w:r w:rsidRPr="006B4078">
              <w:rPr>
                <w:rFonts w:eastAsia="Times New Roman" w:cs="Times New Roman"/>
                <w:sz w:val="22"/>
                <w:szCs w:val="22"/>
              </w:rPr>
              <w:br/>
              <w:t>- Ngân hàng Chính sách xã hội;</w:t>
            </w:r>
            <w:r w:rsidRPr="006B4078">
              <w:rPr>
                <w:rFonts w:eastAsia="Times New Roman" w:cs="Times New Roman"/>
                <w:sz w:val="22"/>
                <w:szCs w:val="22"/>
              </w:rPr>
              <w:br/>
              <w:t>- Ngân hàng Phát triển Việt Nam;</w:t>
            </w:r>
            <w:r w:rsidRPr="006B4078">
              <w:rPr>
                <w:rFonts w:eastAsia="Times New Roman" w:cs="Times New Roman"/>
                <w:sz w:val="22"/>
                <w:szCs w:val="22"/>
              </w:rPr>
              <w:br/>
              <w:t>- Ủy ban trung ương Mặt trận Tổ quốc Việt Nam;</w:t>
            </w:r>
            <w:r w:rsidRPr="006B4078">
              <w:rPr>
                <w:rFonts w:eastAsia="Times New Roman" w:cs="Times New Roman"/>
                <w:sz w:val="22"/>
                <w:szCs w:val="22"/>
              </w:rPr>
              <w:br/>
              <w:t>- Cơ quan trung ương của các đoàn thể;</w:t>
            </w:r>
            <w:r w:rsidRPr="006B4078">
              <w:rPr>
                <w:rFonts w:eastAsia="Times New Roman" w:cs="Times New Roman"/>
                <w:sz w:val="22"/>
                <w:szCs w:val="22"/>
              </w:rPr>
              <w:br/>
              <w:t xml:space="preserve">- VPCP: BTCN, các PCN, Trợ lý TTg, TGĐ Cổng TTĐT, </w:t>
            </w:r>
            <w:r w:rsidRPr="006B4078">
              <w:rPr>
                <w:rFonts w:eastAsia="Times New Roman" w:cs="Times New Roman"/>
                <w:sz w:val="22"/>
                <w:szCs w:val="22"/>
              </w:rPr>
              <w:br/>
              <w:t>các Vụ, Cục, đơn vị trực thuộc, Công báo;</w:t>
            </w:r>
            <w:r w:rsidRPr="006B4078">
              <w:rPr>
                <w:rFonts w:eastAsia="Times New Roman" w:cs="Times New Roman"/>
                <w:sz w:val="22"/>
                <w:szCs w:val="22"/>
              </w:rPr>
              <w:br/>
              <w:t>- Lưu: VT, NN (2b).</w:t>
            </w:r>
            <w:r w:rsidRPr="006B4078">
              <w:rPr>
                <w:rFonts w:eastAsia="Times New Roman" w:cs="Times New Roman"/>
                <w:sz w:val="22"/>
                <w:szCs w:val="22"/>
                <w:vertAlign w:val="subscript"/>
              </w:rPr>
              <w:t>KN</w:t>
            </w:r>
          </w:p>
        </w:tc>
        <w:tc>
          <w:tcPr>
            <w:tcW w:w="3501" w:type="dxa"/>
          </w:tcPr>
          <w:p w14:paraId="1C7DDF80" w14:textId="77777777" w:rsidR="00065F50" w:rsidRDefault="00065F50" w:rsidP="0097554B">
            <w:pPr>
              <w:spacing w:before="120"/>
              <w:jc w:val="center"/>
              <w:rPr>
                <w:rFonts w:eastAsia="Times New Roman" w:cs="Times New Roman"/>
                <w:b/>
                <w:szCs w:val="28"/>
              </w:rPr>
            </w:pPr>
            <w:r w:rsidRPr="003D1525">
              <w:rPr>
                <w:rFonts w:eastAsia="Times New Roman" w:cs="Times New Roman"/>
                <w:b/>
                <w:szCs w:val="28"/>
              </w:rPr>
              <w:t>TM. CHÍNH PHỦ</w:t>
            </w:r>
            <w:r w:rsidRPr="003D1525">
              <w:rPr>
                <w:rFonts w:eastAsia="Times New Roman" w:cs="Times New Roman"/>
                <w:b/>
                <w:szCs w:val="28"/>
              </w:rPr>
              <w:br/>
              <w:t>THỦ TƯỚNG</w:t>
            </w:r>
            <w:r w:rsidRPr="003D1525">
              <w:rPr>
                <w:rFonts w:eastAsia="Times New Roman" w:cs="Times New Roman"/>
                <w:b/>
                <w:szCs w:val="28"/>
              </w:rPr>
              <w:br/>
            </w:r>
            <w:r w:rsidRPr="003D1525">
              <w:rPr>
                <w:rFonts w:eastAsia="Times New Roman" w:cs="Times New Roman"/>
                <w:b/>
                <w:szCs w:val="28"/>
              </w:rPr>
              <w:br/>
            </w:r>
          </w:p>
          <w:p w14:paraId="23F3E67A" w14:textId="77777777" w:rsidR="00065F50" w:rsidRPr="003D1525" w:rsidRDefault="00065F50" w:rsidP="0097554B">
            <w:pPr>
              <w:spacing w:before="120"/>
              <w:jc w:val="center"/>
              <w:rPr>
                <w:rFonts w:eastAsia="Times New Roman" w:cs="Times New Roman"/>
                <w:b/>
                <w:szCs w:val="28"/>
              </w:rPr>
            </w:pPr>
            <w:r w:rsidRPr="003D1525">
              <w:rPr>
                <w:rFonts w:eastAsia="Times New Roman" w:cs="Times New Roman"/>
                <w:b/>
                <w:szCs w:val="28"/>
              </w:rPr>
              <w:br/>
            </w:r>
            <w:r w:rsidRPr="003D1525">
              <w:rPr>
                <w:rFonts w:eastAsia="Times New Roman" w:cs="Times New Roman"/>
                <w:b/>
                <w:szCs w:val="28"/>
              </w:rPr>
              <w:br/>
            </w:r>
            <w:r w:rsidRPr="003D1525">
              <w:rPr>
                <w:rFonts w:eastAsia="Times New Roman" w:cs="Times New Roman"/>
                <w:b/>
                <w:szCs w:val="28"/>
              </w:rPr>
              <w:br/>
              <w:t>Nguyễn Xuân Phúc</w:t>
            </w:r>
          </w:p>
        </w:tc>
      </w:tr>
    </w:tbl>
    <w:p w14:paraId="76662CF9" w14:textId="77777777" w:rsidR="00065F50" w:rsidRDefault="00065F50" w:rsidP="00065F50"/>
    <w:p w14:paraId="48D8488A" w14:textId="77777777" w:rsidR="002D1B4F" w:rsidRDefault="002D1B4F"/>
    <w:sectPr w:rsidR="002D1B4F" w:rsidSect="00A27FC3">
      <w:footerReference w:type="even" r:id="rId6"/>
      <w:footerReference w:type="default" r:id="rId7"/>
      <w:pgSz w:w="11900" w:h="16840" w:code="9"/>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7D69C2" w14:textId="77777777" w:rsidR="00756BA4" w:rsidRDefault="00756BA4">
      <w:r>
        <w:separator/>
      </w:r>
    </w:p>
  </w:endnote>
  <w:endnote w:type="continuationSeparator" w:id="0">
    <w:p w14:paraId="1D78F13F" w14:textId="77777777" w:rsidR="00756BA4" w:rsidRDefault="00756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A448C" w14:textId="77777777" w:rsidR="00166FCD" w:rsidRDefault="00533913" w:rsidP="00013A18">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E47153" w14:textId="77777777" w:rsidR="00166FCD" w:rsidRDefault="00756BA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BFA88" w14:textId="5B3F4997" w:rsidR="00166FCD" w:rsidRDefault="00533913" w:rsidP="00013A18">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3974">
      <w:rPr>
        <w:rStyle w:val="PageNumber"/>
        <w:noProof/>
      </w:rPr>
      <w:t>4</w:t>
    </w:r>
    <w:r>
      <w:rPr>
        <w:rStyle w:val="PageNumber"/>
      </w:rPr>
      <w:fldChar w:fldCharType="end"/>
    </w:r>
  </w:p>
  <w:p w14:paraId="7EF6FFE8" w14:textId="77777777" w:rsidR="00166FCD" w:rsidRDefault="00756B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2A8A8" w14:textId="77777777" w:rsidR="00756BA4" w:rsidRDefault="00756BA4">
      <w:r>
        <w:separator/>
      </w:r>
    </w:p>
  </w:footnote>
  <w:footnote w:type="continuationSeparator" w:id="0">
    <w:p w14:paraId="6AAD36BF" w14:textId="77777777" w:rsidR="00756BA4" w:rsidRDefault="00756B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F50"/>
    <w:rsid w:val="00065F50"/>
    <w:rsid w:val="000767FF"/>
    <w:rsid w:val="000C73CC"/>
    <w:rsid w:val="00182925"/>
    <w:rsid w:val="002133D1"/>
    <w:rsid w:val="002D1B4F"/>
    <w:rsid w:val="002F724D"/>
    <w:rsid w:val="003659A6"/>
    <w:rsid w:val="004C5431"/>
    <w:rsid w:val="00533913"/>
    <w:rsid w:val="00673DD2"/>
    <w:rsid w:val="00756BA4"/>
    <w:rsid w:val="00850EAF"/>
    <w:rsid w:val="00A27FC3"/>
    <w:rsid w:val="00A62AEB"/>
    <w:rsid w:val="00B576E1"/>
    <w:rsid w:val="00C059EF"/>
    <w:rsid w:val="00D13974"/>
    <w:rsid w:val="00ED0DBD"/>
    <w:rsid w:val="00F42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AF3C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65F50"/>
    <w:pPr>
      <w:tabs>
        <w:tab w:val="center" w:pos="4680"/>
        <w:tab w:val="right" w:pos="9360"/>
      </w:tabs>
    </w:pPr>
  </w:style>
  <w:style w:type="character" w:customStyle="1" w:styleId="FooterChar">
    <w:name w:val="Footer Char"/>
    <w:basedOn w:val="DefaultParagraphFont"/>
    <w:link w:val="Footer"/>
    <w:uiPriority w:val="99"/>
    <w:rsid w:val="00065F50"/>
  </w:style>
  <w:style w:type="character" w:styleId="PageNumber">
    <w:name w:val="page number"/>
    <w:basedOn w:val="DefaultParagraphFont"/>
    <w:uiPriority w:val="99"/>
    <w:semiHidden/>
    <w:unhideWhenUsed/>
    <w:rsid w:val="00065F50"/>
  </w:style>
  <w:style w:type="paragraph" w:styleId="BalloonText">
    <w:name w:val="Balloon Text"/>
    <w:basedOn w:val="Normal"/>
    <w:link w:val="BalloonTextChar"/>
    <w:uiPriority w:val="99"/>
    <w:semiHidden/>
    <w:unhideWhenUsed/>
    <w:rsid w:val="00B576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6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1426</Words>
  <Characters>8134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Dell</cp:lastModifiedBy>
  <cp:revision>5</cp:revision>
  <cp:lastPrinted>2019-10-11T06:50:00Z</cp:lastPrinted>
  <dcterms:created xsi:type="dcterms:W3CDTF">2019-10-11T06:31:00Z</dcterms:created>
  <dcterms:modified xsi:type="dcterms:W3CDTF">2019-10-11T09:31:00Z</dcterms:modified>
</cp:coreProperties>
</file>