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142"/>
        <w:gridCol w:w="5528"/>
        <w:gridCol w:w="142"/>
      </w:tblGrid>
      <w:tr w:rsidR="00EA4DD7" w:rsidRPr="00CF20B7" w14:paraId="0EF38BED" w14:textId="77777777" w:rsidTr="00A37AE6">
        <w:trPr>
          <w:gridAfter w:val="1"/>
          <w:wAfter w:w="142" w:type="dxa"/>
          <w:trHeight w:val="987"/>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15EFD764" w14:textId="77777777" w:rsidR="00EA4DD7" w:rsidRPr="004C3EE4" w:rsidRDefault="00EA4DD7" w:rsidP="00CA7664">
            <w:pPr>
              <w:widowControl w:val="0"/>
              <w:ind w:left="-108" w:right="-87"/>
              <w:jc w:val="center"/>
              <w:rPr>
                <w:spacing w:val="-18"/>
                <w:sz w:val="26"/>
                <w:szCs w:val="26"/>
              </w:rPr>
            </w:pPr>
            <w:r w:rsidRPr="004C3EE4">
              <w:rPr>
                <w:b/>
                <w:bCs/>
                <w:noProof/>
                <w:spacing w:val="-18"/>
                <w:sz w:val="26"/>
                <w:szCs w:val="26"/>
              </w:rPr>
              <mc:AlternateContent>
                <mc:Choice Requires="wps">
                  <w:drawing>
                    <wp:anchor distT="0" distB="0" distL="114300" distR="114300" simplePos="0" relativeHeight="251659264" behindDoc="0" locked="0" layoutInCell="1" allowOverlap="1" wp14:anchorId="1FDC4D4D" wp14:editId="618E46EE">
                      <wp:simplePos x="0" y="0"/>
                      <wp:positionH relativeFrom="column">
                        <wp:posOffset>556260</wp:posOffset>
                      </wp:positionH>
                      <wp:positionV relativeFrom="paragraph">
                        <wp:posOffset>233680</wp:posOffset>
                      </wp:positionV>
                      <wp:extent cx="837565" cy="0"/>
                      <wp:effectExtent l="10160" t="17780" r="28575" b="203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76392F1" id="_x0000_t32" coordsize="21600,21600" o:spt="32" o:oned="t" path="m0,0l21600,21600e" filled="f">
                      <v:path arrowok="t" fillok="f" o:connecttype="none"/>
                      <o:lock v:ext="edit" shapetype="t"/>
                    </v:shapetype>
                    <v:shape id="Straight Arrow Connector 3" o:spid="_x0000_s1026" type="#_x0000_t32" style="position:absolute;margin-left:43.8pt;margin-top:18.4pt;width:6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"/>
                  </w:pict>
                </mc:Fallback>
              </mc:AlternateContent>
            </w:r>
            <w:r w:rsidRPr="004C3EE4">
              <w:rPr>
                <w:b/>
                <w:bCs/>
                <w:spacing w:val="-18"/>
                <w:sz w:val="26"/>
                <w:szCs w:val="26"/>
              </w:rPr>
              <w:t>THỦ TƯỚNG CHÍNH PHỦ</w:t>
            </w:r>
            <w:r w:rsidRPr="004C3EE4">
              <w:rPr>
                <w:b/>
                <w:bCs/>
                <w:spacing w:val="-18"/>
                <w:sz w:val="26"/>
                <w:szCs w:val="26"/>
              </w:rPr>
              <w:br/>
            </w:r>
          </w:p>
        </w:tc>
        <w:tc>
          <w:tcPr>
            <w:tcW w:w="5670"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2D26E135" w14:textId="77777777" w:rsidR="00EA4DD7" w:rsidRPr="004C3EE4" w:rsidRDefault="00EA4DD7" w:rsidP="00CA7664">
            <w:pPr>
              <w:widowControl w:val="0"/>
              <w:ind w:left="-126" w:right="34"/>
              <w:jc w:val="center"/>
              <w:rPr>
                <w:b/>
                <w:bCs/>
                <w:spacing w:val="-16"/>
                <w:sz w:val="26"/>
                <w:szCs w:val="26"/>
              </w:rPr>
            </w:pPr>
            <w:r>
              <w:rPr>
                <w:b/>
                <w:bCs/>
                <w:spacing w:val="-16"/>
                <w:szCs w:val="28"/>
              </w:rPr>
              <w:t xml:space="preserve">    </w:t>
            </w:r>
            <w:r w:rsidRPr="004C3EE4">
              <w:rPr>
                <w:b/>
                <w:bCs/>
                <w:spacing w:val="-16"/>
                <w:sz w:val="26"/>
                <w:szCs w:val="26"/>
              </w:rPr>
              <w:t>CỘNG HÒA XÃ HỘI CHỦ NGHĨA VIỆT NAM</w:t>
            </w:r>
          </w:p>
          <w:p w14:paraId="479A8BD7" w14:textId="77777777" w:rsidR="00EA4DD7" w:rsidRPr="00D570C5" w:rsidRDefault="00EA4DD7" w:rsidP="00CA7664">
            <w:pPr>
              <w:widowControl w:val="0"/>
              <w:ind w:left="-126" w:right="34"/>
              <w:jc w:val="center"/>
              <w:rPr>
                <w:spacing w:val="-4"/>
                <w:szCs w:val="28"/>
              </w:rPr>
            </w:pPr>
            <w:r w:rsidRPr="00CF20B7">
              <w:rPr>
                <w:b/>
                <w:bCs/>
                <w:noProof/>
                <w:spacing w:val="-12"/>
                <w:szCs w:val="28"/>
              </w:rPr>
              <mc:AlternateContent>
                <mc:Choice Requires="wps">
                  <w:drawing>
                    <wp:anchor distT="0" distB="0" distL="114300" distR="114300" simplePos="0" relativeHeight="251660288" behindDoc="0" locked="0" layoutInCell="1" allowOverlap="1" wp14:anchorId="2A440F00" wp14:editId="1000341E">
                      <wp:simplePos x="0" y="0"/>
                      <wp:positionH relativeFrom="column">
                        <wp:posOffset>548640</wp:posOffset>
                      </wp:positionH>
                      <wp:positionV relativeFrom="paragraph">
                        <wp:posOffset>235585</wp:posOffset>
                      </wp:positionV>
                      <wp:extent cx="2233295" cy="0"/>
                      <wp:effectExtent l="15240" t="6985" r="24765" b="311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3D5F9BE" id="Straight Arrow Connector 2" o:spid="_x0000_s1026" type="#_x0000_t32" style="position:absolute;margin-left:43.2pt;margin-top:18.55pt;width:17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"/>
                  </w:pict>
                </mc:Fallback>
              </mc:AlternateContent>
            </w:r>
            <w:r w:rsidRPr="00964348">
              <w:rPr>
                <w:b/>
                <w:bCs/>
                <w:spacing w:val="-4"/>
                <w:szCs w:val="28"/>
              </w:rPr>
              <w:t xml:space="preserve">Độc lập - Tự do - Hạnh phúc </w:t>
            </w:r>
            <w:r w:rsidRPr="00964348">
              <w:rPr>
                <w:b/>
                <w:bCs/>
                <w:spacing w:val="-4"/>
                <w:szCs w:val="28"/>
              </w:rPr>
              <w:br/>
            </w:r>
          </w:p>
        </w:tc>
      </w:tr>
      <w:tr w:rsidR="00EA4DD7" w:rsidRPr="00CF20B7" w14:paraId="5CA922BD" w14:textId="77777777" w:rsidTr="00A37AE6">
        <w:tblPrEx>
          <w:tblBorders>
            <w:top w:val="none" w:sz="0" w:space="0" w:color="auto"/>
            <w:bottom w:val="none" w:sz="0" w:space="0" w:color="auto"/>
            <w:insideH w:val="none" w:sz="0" w:space="0" w:color="auto"/>
            <w:insideV w:val="none" w:sz="0" w:space="0" w:color="auto"/>
          </w:tblBorders>
        </w:tblPrEx>
        <w:tc>
          <w:tcPr>
            <w:tcW w:w="3403"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304BCE41" w14:textId="77777777" w:rsidR="00EA4DD7" w:rsidRPr="00CF20B7" w:rsidRDefault="00EA4DD7" w:rsidP="00CA7664">
            <w:pPr>
              <w:widowControl w:val="0"/>
              <w:ind w:left="-108" w:right="34"/>
              <w:jc w:val="center"/>
            </w:pPr>
            <w:r w:rsidRPr="00CF20B7">
              <w:t xml:space="preserve">Số:            </w:t>
            </w:r>
            <w:r>
              <w:t>/2022</w:t>
            </w:r>
            <w:r w:rsidRPr="00CF20B7">
              <w:t>/QĐ-TTg</w:t>
            </w:r>
          </w:p>
        </w:tc>
        <w:tc>
          <w:tcPr>
            <w:tcW w:w="5670"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67344E35" w14:textId="77777777" w:rsidR="00EA4DD7" w:rsidRPr="00CF20B7" w:rsidRDefault="00EA4DD7" w:rsidP="00CA7664">
            <w:pPr>
              <w:widowControl w:val="0"/>
              <w:ind w:right="34"/>
              <w:jc w:val="center"/>
            </w:pPr>
            <w:r w:rsidRPr="00CF20B7">
              <w:rPr>
                <w:i/>
                <w:iCs/>
              </w:rPr>
              <w:t>Hà Nội, ngày        tháng      năm 202</w:t>
            </w:r>
            <w:r>
              <w:rPr>
                <w:i/>
                <w:iCs/>
              </w:rPr>
              <w:t>2</w:t>
            </w:r>
          </w:p>
        </w:tc>
      </w:tr>
    </w:tbl>
    <w:p w14:paraId="5FA6A48B" w14:textId="77777777" w:rsidR="00EA4DD7" w:rsidRPr="00CF20B7" w:rsidRDefault="00EA4DD7" w:rsidP="00CA7664">
      <w:pPr>
        <w:widowControl w:val="0"/>
        <w:spacing w:before="120"/>
      </w:pPr>
      <w:r>
        <w:rPr>
          <w:noProof/>
        </w:rPr>
        <mc:AlternateContent>
          <mc:Choice Requires="wps">
            <w:drawing>
              <wp:anchor distT="0" distB="0" distL="114300" distR="114300" simplePos="0" relativeHeight="251662336" behindDoc="0" locked="0" layoutInCell="1" allowOverlap="1" wp14:anchorId="3D40C2C9" wp14:editId="787D7328">
                <wp:simplePos x="0" y="0"/>
                <wp:positionH relativeFrom="column">
                  <wp:posOffset>-752475</wp:posOffset>
                </wp:positionH>
                <wp:positionV relativeFrom="paragraph">
                  <wp:posOffset>280035</wp:posOffset>
                </wp:positionV>
                <wp:extent cx="1026795" cy="3454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102679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77C52A" w14:textId="77777777" w:rsidR="00EA4DD7" w:rsidRPr="004059C2" w:rsidRDefault="00EA4DD7" w:rsidP="00EA4DD7">
                            <w:pPr>
                              <w:pBdr>
                                <w:top w:val="single" w:sz="4" w:space="1" w:color="auto"/>
                                <w:left w:val="single" w:sz="4" w:space="4" w:color="auto"/>
                                <w:bottom w:val="single" w:sz="4" w:space="1" w:color="auto"/>
                                <w:right w:val="single" w:sz="4" w:space="4" w:color="auto"/>
                              </w:pBdr>
                              <w:rPr>
                                <w:b/>
                                <w:lang w:val="vi-VN"/>
                              </w:rPr>
                            </w:pPr>
                            <w:r w:rsidRPr="004059C2">
                              <w:rPr>
                                <w:b/>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D40C2C9" id="_x0000_t202" coordsize="21600,21600" o:spt="202" path="m0,0l0,21600,21600,21600,21600,0xe">
                <v:stroke joinstyle="miter"/>
                <v:path gradientshapeok="t" o:connecttype="rect"/>
              </v:shapetype>
              <v:shape id="Text Box 1" o:spid="_x0000_s1026" type="#_x0000_t202" style="position:absolute;margin-left:-59.25pt;margin-top:22.05pt;width:80.85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" filled="f" stroked="f">
                <v:textbox>
                  <w:txbxContent>
                    <w:p w14:paraId="3A77C52A" w14:textId="77777777" w:rsidR="00EA4DD7" w:rsidRPr="004059C2" w:rsidRDefault="00EA4DD7" w:rsidP="00EA4DD7">
                      <w:pPr>
                        <w:pBdr>
                          <w:top w:val="single" w:sz="4" w:space="1" w:color="auto"/>
                          <w:left w:val="single" w:sz="4" w:space="4" w:color="auto"/>
                          <w:bottom w:val="single" w:sz="4" w:space="1" w:color="auto"/>
                          <w:right w:val="single" w:sz="4" w:space="4" w:color="auto"/>
                        </w:pBdr>
                        <w:rPr>
                          <w:b/>
                          <w:lang w:val="vi-VN"/>
                        </w:rPr>
                      </w:pPr>
                      <w:r w:rsidRPr="004059C2">
                        <w:rPr>
                          <w:b/>
                          <w:lang w:val="vi-VN"/>
                        </w:rPr>
                        <w:t>DỰ THẢO</w:t>
                      </w:r>
                    </w:p>
                  </w:txbxContent>
                </v:textbox>
                <w10:wrap type="square"/>
              </v:shape>
            </w:pict>
          </mc:Fallback>
        </mc:AlternateContent>
      </w:r>
      <w:r w:rsidRPr="00CF20B7">
        <w:t> </w:t>
      </w:r>
    </w:p>
    <w:p w14:paraId="17035A51" w14:textId="77777777" w:rsidR="00EA4DD7" w:rsidRDefault="00EA4DD7" w:rsidP="00CA7664">
      <w:pPr>
        <w:widowControl w:val="0"/>
        <w:rPr>
          <w:b/>
          <w:bCs/>
          <w:sz w:val="30"/>
          <w:szCs w:val="30"/>
        </w:rPr>
      </w:pPr>
    </w:p>
    <w:p w14:paraId="76AC8587" w14:textId="77777777" w:rsidR="00EA4DD7" w:rsidRPr="00B15694" w:rsidRDefault="00EA4DD7" w:rsidP="00CA7664">
      <w:pPr>
        <w:widowControl w:val="0"/>
        <w:spacing w:before="120" w:line="240" w:lineRule="atLeast"/>
        <w:jc w:val="center"/>
        <w:rPr>
          <w:szCs w:val="28"/>
        </w:rPr>
      </w:pPr>
      <w:r w:rsidRPr="00B15694">
        <w:rPr>
          <w:b/>
          <w:bCs/>
          <w:szCs w:val="28"/>
        </w:rPr>
        <w:t>QUYẾT ĐỊNH</w:t>
      </w:r>
    </w:p>
    <w:p w14:paraId="538B7D69" w14:textId="77777777" w:rsidR="00EA4DD7" w:rsidRPr="00994C95" w:rsidRDefault="00EA4DD7" w:rsidP="00CA7664">
      <w:pPr>
        <w:widowControl w:val="0"/>
        <w:spacing w:line="240" w:lineRule="atLeast"/>
        <w:ind w:left="-142" w:right="-143"/>
        <w:jc w:val="center"/>
        <w:rPr>
          <w:b/>
          <w:position w:val="2"/>
          <w:szCs w:val="28"/>
        </w:rPr>
      </w:pPr>
      <w:r>
        <w:rPr>
          <w:b/>
          <w:position w:val="2"/>
          <w:szCs w:val="28"/>
        </w:rPr>
        <w:t xml:space="preserve">Quy định về trình tự, thủ tục quyết định chủ trương chuyển mục đích sử dụng rừng thuộc thẩm quyền của Hội đồng nhân dân tỉnh Thanh Hóa, Hội đồng nhân dân tỉnh Nghệ An </w:t>
      </w:r>
    </w:p>
    <w:p w14:paraId="2956F83E" w14:textId="77777777" w:rsidR="00EA4DD7" w:rsidRPr="00994C95" w:rsidRDefault="00EA4DD7" w:rsidP="00CA7664">
      <w:pPr>
        <w:widowControl w:val="0"/>
        <w:spacing w:before="480" w:after="240"/>
        <w:jc w:val="center"/>
        <w:rPr>
          <w:szCs w:val="28"/>
        </w:rPr>
      </w:pPr>
      <w:r w:rsidRPr="00994C95">
        <w:rPr>
          <w:b/>
          <w:bCs/>
          <w:noProof/>
          <w:spacing w:val="-8"/>
          <w:szCs w:val="28"/>
        </w:rPr>
        <mc:AlternateContent>
          <mc:Choice Requires="wps">
            <w:drawing>
              <wp:anchor distT="0" distB="0" distL="114300" distR="114300" simplePos="0" relativeHeight="251661312" behindDoc="0" locked="0" layoutInCell="1" allowOverlap="1" wp14:anchorId="7FB7B313" wp14:editId="455DCF52">
                <wp:simplePos x="0" y="0"/>
                <wp:positionH relativeFrom="column">
                  <wp:posOffset>2223770</wp:posOffset>
                </wp:positionH>
                <wp:positionV relativeFrom="paragraph">
                  <wp:posOffset>37465</wp:posOffset>
                </wp:positionV>
                <wp:extent cx="1374775" cy="0"/>
                <wp:effectExtent l="13970" t="12065" r="20955" b="260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36543B7" id="Straight Arrow Connector 5" o:spid="_x0000_s1026" type="#_x0000_t32" style="position:absolute;margin-left:175.1pt;margin-top:2.95pt;width:10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"/>
            </w:pict>
          </mc:Fallback>
        </mc:AlternateContent>
      </w:r>
      <w:r w:rsidRPr="00994C95">
        <w:rPr>
          <w:b/>
          <w:bCs/>
          <w:szCs w:val="28"/>
        </w:rPr>
        <w:t>THỦ TƯỚNG CHÍNH PHỦ</w:t>
      </w:r>
    </w:p>
    <w:p w14:paraId="087E26DD" w14:textId="77777777" w:rsidR="00EA4DD7" w:rsidRPr="004E7345" w:rsidRDefault="00EA4DD7" w:rsidP="00CA7664">
      <w:pPr>
        <w:widowControl w:val="0"/>
        <w:spacing w:before="120" w:after="120"/>
        <w:ind w:firstLine="720"/>
        <w:jc w:val="both"/>
        <w:rPr>
          <w:i/>
          <w:iCs/>
          <w:szCs w:val="28"/>
        </w:rPr>
      </w:pPr>
      <w:r w:rsidRPr="004E7345">
        <w:rPr>
          <w:i/>
          <w:iCs/>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6AA59292" w14:textId="119BD8B1" w:rsidR="00EA4DD7" w:rsidRPr="003B24F1" w:rsidRDefault="00EA4DD7" w:rsidP="00CA7664">
      <w:pPr>
        <w:widowControl w:val="0"/>
        <w:spacing w:before="120" w:after="120"/>
        <w:ind w:firstLine="720"/>
        <w:jc w:val="both"/>
        <w:rPr>
          <w:i/>
          <w:iCs/>
          <w:spacing w:val="4"/>
          <w:szCs w:val="28"/>
        </w:rPr>
      </w:pPr>
      <w:r w:rsidRPr="004E7345">
        <w:rPr>
          <w:i/>
          <w:iCs/>
          <w:spacing w:val="4"/>
          <w:szCs w:val="28"/>
        </w:rPr>
        <w:t xml:space="preserve">Căn cứ Luật </w:t>
      </w:r>
      <w:r>
        <w:rPr>
          <w:i/>
          <w:iCs/>
          <w:spacing w:val="4"/>
          <w:szCs w:val="28"/>
        </w:rPr>
        <w:t xml:space="preserve">Lâm nghiệp </w:t>
      </w:r>
      <w:r w:rsidR="007C7426">
        <w:rPr>
          <w:i/>
          <w:iCs/>
          <w:spacing w:val="4"/>
          <w:szCs w:val="28"/>
        </w:rPr>
        <w:t xml:space="preserve">ngày </w:t>
      </w:r>
      <w:r w:rsidR="00B211A1">
        <w:rPr>
          <w:i/>
          <w:iCs/>
          <w:spacing w:val="4"/>
          <w:szCs w:val="28"/>
        </w:rPr>
        <w:t xml:space="preserve">15 tháng 11 </w:t>
      </w:r>
      <w:r>
        <w:rPr>
          <w:i/>
          <w:iCs/>
          <w:spacing w:val="4"/>
          <w:szCs w:val="28"/>
        </w:rPr>
        <w:t>năm 2017</w:t>
      </w:r>
      <w:r w:rsidRPr="004E7345">
        <w:rPr>
          <w:i/>
          <w:iCs/>
          <w:szCs w:val="28"/>
        </w:rPr>
        <w:t>;</w:t>
      </w:r>
    </w:p>
    <w:p w14:paraId="09E6273A" w14:textId="79D1D421" w:rsidR="00EA4DD7" w:rsidRPr="00B211A1" w:rsidRDefault="00EA4DD7" w:rsidP="00CA7664">
      <w:pPr>
        <w:widowControl w:val="0"/>
        <w:spacing w:before="120" w:after="120"/>
        <w:ind w:firstLine="720"/>
        <w:jc w:val="both"/>
        <w:rPr>
          <w:i/>
          <w:iCs/>
          <w:szCs w:val="28"/>
        </w:rPr>
      </w:pPr>
      <w:r w:rsidRPr="004E7345">
        <w:rPr>
          <w:i/>
          <w:iCs/>
          <w:szCs w:val="28"/>
        </w:rPr>
        <w:t>Căn cứ Nghị quyết số 36/2021/QH15 ngày 13 tháng 11 năm 2021 của Quốc hội về thí điểm một số cơ chế, chính sách đặc thù phát triển tỉnh Nghệ An;</w:t>
      </w:r>
      <w:r w:rsidR="00B211A1">
        <w:rPr>
          <w:i/>
          <w:iCs/>
          <w:szCs w:val="28"/>
        </w:rPr>
        <w:t xml:space="preserve"> </w:t>
      </w:r>
      <w:r w:rsidRPr="004E7345">
        <w:rPr>
          <w:i/>
          <w:iCs/>
          <w:spacing w:val="-4"/>
          <w:szCs w:val="28"/>
        </w:rPr>
        <w:t>Nghị quyết số 37/2021/QH15 ngày 13 tháng 11 năm 2021 của Quốc hội về thí điểm một số cơ chế, chính sách đặc thù phát triển tỉnh</w:t>
      </w:r>
      <w:r>
        <w:rPr>
          <w:i/>
          <w:iCs/>
          <w:spacing w:val="-4"/>
          <w:szCs w:val="28"/>
        </w:rPr>
        <w:t xml:space="preserve"> Thanh Hóa;</w:t>
      </w:r>
    </w:p>
    <w:p w14:paraId="682200D3" w14:textId="77777777" w:rsidR="00EA4DD7" w:rsidRDefault="00EA4DD7" w:rsidP="00CA7664">
      <w:pPr>
        <w:widowControl w:val="0"/>
        <w:spacing w:before="120" w:after="120"/>
        <w:ind w:firstLine="720"/>
        <w:jc w:val="both"/>
        <w:rPr>
          <w:i/>
          <w:iCs/>
          <w:spacing w:val="4"/>
          <w:szCs w:val="28"/>
        </w:rPr>
      </w:pPr>
      <w:r w:rsidRPr="00994C95">
        <w:rPr>
          <w:i/>
          <w:iCs/>
          <w:spacing w:val="4"/>
          <w:szCs w:val="28"/>
        </w:rPr>
        <w:t xml:space="preserve">Theo đề nghị của Bộ trưởng Bộ </w:t>
      </w:r>
      <w:r>
        <w:rPr>
          <w:i/>
          <w:iCs/>
          <w:spacing w:val="4"/>
          <w:szCs w:val="28"/>
        </w:rPr>
        <w:t>Nông nghiệp và Phát triển nông thôn;</w:t>
      </w:r>
    </w:p>
    <w:p w14:paraId="7B867AE3" w14:textId="5E150CD7" w:rsidR="00EA4DD7" w:rsidRPr="00994C95" w:rsidRDefault="00EA4DD7" w:rsidP="00CA7664">
      <w:pPr>
        <w:widowControl w:val="0"/>
        <w:spacing w:before="120" w:after="120"/>
        <w:ind w:firstLine="720"/>
        <w:jc w:val="both"/>
        <w:rPr>
          <w:i/>
          <w:iCs/>
          <w:spacing w:val="4"/>
          <w:szCs w:val="28"/>
        </w:rPr>
      </w:pPr>
      <w:r>
        <w:rPr>
          <w:i/>
          <w:iCs/>
          <w:spacing w:val="4"/>
          <w:szCs w:val="28"/>
        </w:rPr>
        <w:t>Thủ tướng Chính phủ ban hành Quyết định q</w:t>
      </w:r>
      <w:r w:rsidRPr="004E7345">
        <w:rPr>
          <w:i/>
          <w:iCs/>
          <w:spacing w:val="4"/>
          <w:szCs w:val="28"/>
        </w:rPr>
        <w:t xml:space="preserve">uy định về </w:t>
      </w:r>
      <w:r w:rsidRPr="004C3EE4">
        <w:rPr>
          <w:i/>
          <w:iCs/>
          <w:spacing w:val="4"/>
          <w:szCs w:val="28"/>
        </w:rPr>
        <w:t>trình tự, thủ tục quyết định chủ trương chuyển mục đích sử dụng rừng thuộc thẩm quyền của Hội đồng nhân dân tỉnh Thanh Hóa, Hội đồng nhân dân tỉnh Nghệ</w:t>
      </w:r>
      <w:r w:rsidR="007C7426">
        <w:rPr>
          <w:i/>
          <w:iCs/>
          <w:spacing w:val="4"/>
          <w:szCs w:val="28"/>
        </w:rPr>
        <w:t xml:space="preserve"> An</w:t>
      </w:r>
      <w:r w:rsidRPr="00994C95">
        <w:rPr>
          <w:i/>
          <w:iCs/>
          <w:spacing w:val="4"/>
          <w:szCs w:val="28"/>
        </w:rPr>
        <w:t>.</w:t>
      </w:r>
    </w:p>
    <w:p w14:paraId="7125474E" w14:textId="77777777" w:rsidR="00EA4DD7" w:rsidRPr="004C3EE4" w:rsidRDefault="00EA4DD7" w:rsidP="00CA7664">
      <w:pPr>
        <w:widowControl w:val="0"/>
        <w:spacing w:before="120" w:after="120"/>
        <w:ind w:firstLine="709"/>
        <w:jc w:val="both"/>
        <w:rPr>
          <w:b/>
          <w:position w:val="2"/>
          <w:szCs w:val="28"/>
        </w:rPr>
      </w:pPr>
      <w:bookmarkStart w:id="0" w:name="dieu_1"/>
      <w:r w:rsidRPr="004C3EE4">
        <w:rPr>
          <w:b/>
          <w:position w:val="2"/>
          <w:szCs w:val="28"/>
        </w:rPr>
        <w:t>Điều 1. Phạm vi điều chỉnh và đối tượng áp dụng</w:t>
      </w:r>
      <w:bookmarkEnd w:id="0"/>
    </w:p>
    <w:p w14:paraId="3E2D6A74" w14:textId="77777777" w:rsidR="00EA4DD7" w:rsidRPr="004C3EE4" w:rsidRDefault="00EA4DD7" w:rsidP="00CA7664">
      <w:pPr>
        <w:widowControl w:val="0"/>
        <w:shd w:val="clear" w:color="auto" w:fill="FFFFFF"/>
        <w:spacing w:before="120" w:after="120"/>
        <w:ind w:firstLine="709"/>
        <w:jc w:val="both"/>
        <w:rPr>
          <w:rFonts w:cs="Times New Roman"/>
          <w:color w:val="000000"/>
          <w:szCs w:val="28"/>
          <w:lang w:val="vi-VN"/>
        </w:rPr>
      </w:pPr>
      <w:r w:rsidRPr="004C3EE4">
        <w:rPr>
          <w:rFonts w:cs="Times New Roman"/>
          <w:color w:val="000000"/>
          <w:szCs w:val="28"/>
          <w:lang w:val="vi-VN"/>
        </w:rPr>
        <w:t>1. Phạm vi điều chỉnh</w:t>
      </w:r>
    </w:p>
    <w:p w14:paraId="6F59CC5D" w14:textId="11CFBB46" w:rsidR="00EA4DD7" w:rsidRPr="004C3EE4" w:rsidRDefault="00EA4DD7" w:rsidP="00CA7664">
      <w:pPr>
        <w:widowControl w:val="0"/>
        <w:shd w:val="clear" w:color="auto" w:fill="FFFFFF"/>
        <w:spacing w:before="120" w:after="120"/>
        <w:ind w:firstLine="709"/>
        <w:jc w:val="both"/>
        <w:rPr>
          <w:rFonts w:cs="Times New Roman"/>
          <w:color w:val="000000"/>
          <w:szCs w:val="28"/>
          <w:lang w:val="vi-VN"/>
        </w:rPr>
      </w:pPr>
      <w:r w:rsidRPr="004C3EE4">
        <w:rPr>
          <w:rFonts w:cs="Times New Roman"/>
          <w:color w:val="000000"/>
          <w:szCs w:val="28"/>
          <w:lang w:val="vi-VN"/>
        </w:rPr>
        <w:t>Quyết định này quy định trình tự, thủ tục quyết định chủ trương chuyển mục đích sử dụng rừng thuộc thẩm quyền của Hội đồng nhân dân tỉnh Thanh Hóa, Hội đồng nhân dân tỉnh Nghệ An</w:t>
      </w:r>
      <w:r w:rsidR="007C7426">
        <w:rPr>
          <w:rFonts w:cs="Times New Roman"/>
          <w:color w:val="000000"/>
          <w:szCs w:val="28"/>
          <w:lang w:val="vi-VN"/>
        </w:rPr>
        <w:t xml:space="preserve"> </w:t>
      </w:r>
      <w:r>
        <w:rPr>
          <w:rFonts w:cs="Times New Roman"/>
          <w:color w:val="000000"/>
          <w:szCs w:val="28"/>
          <w:lang w:val="vi-VN"/>
        </w:rPr>
        <w:t>đối với</w:t>
      </w:r>
      <w:r w:rsidRPr="001416CE">
        <w:rPr>
          <w:rFonts w:cs="Times New Roman"/>
          <w:color w:val="000000"/>
          <w:szCs w:val="28"/>
          <w:lang w:val="vi-VN"/>
        </w:rPr>
        <w:t xml:space="preserve"> rừng sản xuất </w:t>
      </w:r>
      <w:r>
        <w:rPr>
          <w:rFonts w:cs="Times New Roman"/>
          <w:color w:val="000000"/>
          <w:szCs w:val="28"/>
          <w:lang w:val="vi-VN"/>
        </w:rPr>
        <w:t xml:space="preserve">từ 50ha đến </w:t>
      </w:r>
      <w:r w:rsidRPr="001416CE">
        <w:rPr>
          <w:rFonts w:cs="Times New Roman"/>
          <w:color w:val="000000"/>
          <w:szCs w:val="28"/>
          <w:lang w:val="vi-VN"/>
        </w:rPr>
        <w:t>dưới 1.000 ha theo</w:t>
      </w:r>
      <w:r>
        <w:rPr>
          <w:rFonts w:cs="Times New Roman"/>
          <w:color w:val="000000"/>
          <w:szCs w:val="28"/>
          <w:lang w:val="vi-VN"/>
        </w:rPr>
        <w:t xml:space="preserve"> quy định</w:t>
      </w:r>
      <w:r w:rsidRPr="004C3EE4">
        <w:rPr>
          <w:rFonts w:cs="Times New Roman"/>
          <w:color w:val="000000"/>
          <w:szCs w:val="28"/>
          <w:lang w:val="vi-VN"/>
        </w:rPr>
        <w:t xml:space="preserve"> tại </w:t>
      </w:r>
      <w:r>
        <w:rPr>
          <w:rFonts w:cs="Times New Roman"/>
          <w:color w:val="000000"/>
          <w:szCs w:val="28"/>
          <w:lang w:val="vi-VN"/>
        </w:rPr>
        <w:t xml:space="preserve">khoản 2 Điều 4 </w:t>
      </w:r>
      <w:r w:rsidRPr="004C3EE4">
        <w:rPr>
          <w:rFonts w:cs="Times New Roman"/>
          <w:color w:val="000000"/>
          <w:szCs w:val="28"/>
          <w:lang w:val="vi-VN"/>
        </w:rPr>
        <w:t xml:space="preserve">Nghị quyết </w:t>
      </w:r>
      <w:r>
        <w:rPr>
          <w:rFonts w:cs="Times New Roman"/>
          <w:color w:val="000000"/>
          <w:szCs w:val="28"/>
          <w:lang w:val="vi-VN"/>
        </w:rPr>
        <w:t xml:space="preserve">số 36/2021/QH15 ngày 13 tháng 11 năm 2021 </w:t>
      </w:r>
      <w:r w:rsidR="000955C8">
        <w:rPr>
          <w:rFonts w:cs="Times New Roman"/>
          <w:color w:val="000000"/>
          <w:szCs w:val="28"/>
          <w:lang w:val="vi-VN"/>
        </w:rPr>
        <w:t xml:space="preserve">của Quốc hội khoá XV </w:t>
      </w:r>
      <w:r>
        <w:rPr>
          <w:rFonts w:cs="Times New Roman"/>
          <w:color w:val="000000"/>
          <w:szCs w:val="28"/>
          <w:lang w:val="vi-VN"/>
        </w:rPr>
        <w:t xml:space="preserve">về thí điểm một số cơ chế, chính sách đặc thù phát triển tỉnh Nghệ An và khoản 2 Điều 4 </w:t>
      </w:r>
      <w:r w:rsidRPr="004C3EE4">
        <w:rPr>
          <w:rFonts w:cs="Times New Roman"/>
          <w:color w:val="000000"/>
          <w:szCs w:val="28"/>
          <w:lang w:val="vi-VN"/>
        </w:rPr>
        <w:t xml:space="preserve">Nghị quyết </w:t>
      </w:r>
      <w:r>
        <w:rPr>
          <w:rFonts w:cs="Times New Roman"/>
          <w:color w:val="000000"/>
          <w:szCs w:val="28"/>
          <w:lang w:val="vi-VN"/>
        </w:rPr>
        <w:t xml:space="preserve">số 37/2021/QH15 ngày 13 tháng 11 năm 2021 </w:t>
      </w:r>
      <w:r w:rsidR="007C7426">
        <w:rPr>
          <w:rFonts w:cs="Times New Roman"/>
          <w:color w:val="000000"/>
          <w:szCs w:val="28"/>
          <w:lang w:val="vi-VN"/>
        </w:rPr>
        <w:t xml:space="preserve">của Quốc hội khoá XV </w:t>
      </w:r>
      <w:r>
        <w:rPr>
          <w:rFonts w:cs="Times New Roman"/>
          <w:color w:val="000000"/>
          <w:szCs w:val="28"/>
          <w:lang w:val="vi-VN"/>
        </w:rPr>
        <w:t>về thí điểm một số cơ chế, chính sách đặc thù phát triển tỉnh Thanh Hoá</w:t>
      </w:r>
      <w:r w:rsidRPr="004C3EE4">
        <w:rPr>
          <w:rFonts w:cs="Times New Roman"/>
          <w:color w:val="000000"/>
          <w:szCs w:val="28"/>
          <w:lang w:val="vi-VN"/>
        </w:rPr>
        <w:t>.</w:t>
      </w:r>
    </w:p>
    <w:p w14:paraId="6301FF06" w14:textId="77777777" w:rsidR="00EA4DD7" w:rsidRPr="004C3EE4" w:rsidRDefault="00EA4DD7" w:rsidP="00CA7664">
      <w:pPr>
        <w:widowControl w:val="0"/>
        <w:shd w:val="clear" w:color="auto" w:fill="FFFFFF"/>
        <w:spacing w:before="120" w:after="120"/>
        <w:ind w:firstLine="709"/>
        <w:jc w:val="both"/>
        <w:rPr>
          <w:rFonts w:cs="Times New Roman"/>
          <w:color w:val="000000"/>
          <w:szCs w:val="28"/>
          <w:lang w:val="vi-VN"/>
        </w:rPr>
      </w:pPr>
      <w:r w:rsidRPr="004C3EE4">
        <w:rPr>
          <w:rFonts w:cs="Times New Roman"/>
          <w:color w:val="000000"/>
          <w:szCs w:val="28"/>
          <w:lang w:val="vi-VN"/>
        </w:rPr>
        <w:t>2. Đối tượng áp dụng</w:t>
      </w:r>
    </w:p>
    <w:p w14:paraId="5EA1711B" w14:textId="77777777" w:rsidR="00EA4DD7" w:rsidRPr="004C3EE4" w:rsidRDefault="00EA4DD7" w:rsidP="00CA7664">
      <w:pPr>
        <w:widowControl w:val="0"/>
        <w:shd w:val="clear" w:color="auto" w:fill="FFFFFF"/>
        <w:spacing w:before="120" w:after="120"/>
        <w:ind w:firstLine="709"/>
        <w:jc w:val="both"/>
        <w:rPr>
          <w:rFonts w:cs="Times New Roman"/>
          <w:color w:val="000000"/>
          <w:szCs w:val="28"/>
          <w:lang w:val="vi-VN"/>
        </w:rPr>
      </w:pPr>
      <w:r w:rsidRPr="004C3EE4">
        <w:rPr>
          <w:rFonts w:cs="Times New Roman"/>
          <w:color w:val="000000"/>
          <w:szCs w:val="28"/>
          <w:lang w:val="vi-VN"/>
        </w:rPr>
        <w:t xml:space="preserve">Quyết định này áp dụng đối với các tổ chức, cá nhân </w:t>
      </w:r>
      <w:r>
        <w:rPr>
          <w:rFonts w:cs="Times New Roman"/>
          <w:color w:val="000000"/>
          <w:szCs w:val="28"/>
          <w:lang w:val="vi-VN"/>
        </w:rPr>
        <w:t xml:space="preserve">liên quan đến </w:t>
      </w:r>
      <w:r w:rsidRPr="00FE4187">
        <w:rPr>
          <w:rFonts w:cs="Times New Roman"/>
          <w:color w:val="000000"/>
          <w:szCs w:val="28"/>
          <w:lang w:val="vi-VN"/>
        </w:rPr>
        <w:t>hoạt động</w:t>
      </w:r>
      <w:r w:rsidRPr="004C3EE4">
        <w:rPr>
          <w:rFonts w:cs="Times New Roman"/>
          <w:color w:val="000000"/>
          <w:szCs w:val="28"/>
          <w:lang w:val="vi-VN"/>
        </w:rPr>
        <w:t xml:space="preserve"> chuyển mục đích sử dụng rừng trên đị</w:t>
      </w:r>
      <w:r>
        <w:rPr>
          <w:rFonts w:cs="Times New Roman"/>
          <w:color w:val="000000"/>
          <w:szCs w:val="28"/>
          <w:lang w:val="vi-VN"/>
        </w:rPr>
        <w:t>a bàn</w:t>
      </w:r>
      <w:r w:rsidRPr="004C3EE4">
        <w:rPr>
          <w:rFonts w:cs="Times New Roman"/>
          <w:color w:val="000000"/>
          <w:szCs w:val="28"/>
          <w:lang w:val="vi-VN"/>
        </w:rPr>
        <w:t xml:space="preserve"> tỉ</w:t>
      </w:r>
      <w:r>
        <w:rPr>
          <w:rFonts w:cs="Times New Roman"/>
          <w:color w:val="000000"/>
          <w:szCs w:val="28"/>
          <w:lang w:val="vi-VN"/>
        </w:rPr>
        <w:t>nh Thanh Hoá,</w:t>
      </w:r>
      <w:r w:rsidRPr="004C3EE4">
        <w:rPr>
          <w:rFonts w:cs="Times New Roman"/>
          <w:color w:val="000000"/>
          <w:szCs w:val="28"/>
          <w:lang w:val="vi-VN"/>
        </w:rPr>
        <w:t xml:space="preserve"> Nghệ An.</w:t>
      </w:r>
    </w:p>
    <w:p w14:paraId="401391DF" w14:textId="42825D6C" w:rsidR="000955C8" w:rsidRDefault="003C77C5" w:rsidP="00CA7664">
      <w:pPr>
        <w:widowControl w:val="0"/>
        <w:spacing w:before="120" w:after="120"/>
        <w:ind w:firstLine="720"/>
        <w:jc w:val="both"/>
        <w:rPr>
          <w:rFonts w:ascii="Times New Roman Bold" w:hAnsi="Times New Roman Bold"/>
          <w:b/>
          <w:bCs/>
          <w:spacing w:val="2"/>
          <w:szCs w:val="28"/>
        </w:rPr>
      </w:pPr>
      <w:r>
        <w:rPr>
          <w:rFonts w:ascii="Times New Roman Bold" w:hAnsi="Times New Roman Bold"/>
          <w:b/>
          <w:bCs/>
          <w:spacing w:val="2"/>
          <w:szCs w:val="28"/>
        </w:rPr>
        <w:t xml:space="preserve">Điều 2. </w:t>
      </w:r>
      <w:r w:rsidR="00B211A1">
        <w:rPr>
          <w:rFonts w:ascii="Times New Roman Bold" w:hAnsi="Times New Roman Bold"/>
          <w:b/>
          <w:bCs/>
          <w:spacing w:val="2"/>
          <w:szCs w:val="28"/>
        </w:rPr>
        <w:t xml:space="preserve">Nguyên tắc </w:t>
      </w:r>
    </w:p>
    <w:p w14:paraId="176BC523" w14:textId="6F4160D3" w:rsidR="00B211A1" w:rsidRPr="00B211A1" w:rsidRDefault="000955C8" w:rsidP="00CA7664">
      <w:pPr>
        <w:widowControl w:val="0"/>
        <w:shd w:val="clear" w:color="auto" w:fill="FFFFFF"/>
        <w:spacing w:before="120" w:after="120"/>
        <w:ind w:firstLine="709"/>
        <w:jc w:val="both"/>
        <w:rPr>
          <w:rFonts w:cs="Times New Roman"/>
          <w:color w:val="000000"/>
          <w:szCs w:val="28"/>
          <w:lang w:val="vi-VN"/>
        </w:rPr>
      </w:pPr>
      <w:r>
        <w:rPr>
          <w:rFonts w:cs="Times New Roman"/>
          <w:color w:val="000000"/>
          <w:szCs w:val="28"/>
        </w:rPr>
        <w:t xml:space="preserve">Việc chuyển mục đích sử dụng rừng </w:t>
      </w:r>
      <w:r w:rsidRPr="001416CE">
        <w:rPr>
          <w:rFonts w:cs="Times New Roman"/>
          <w:color w:val="000000"/>
          <w:szCs w:val="28"/>
          <w:lang w:val="vi-VN"/>
        </w:rPr>
        <w:t xml:space="preserve">bảo đảm nguyên tắc, điều kiện theo </w:t>
      </w:r>
      <w:r w:rsidRPr="001416CE">
        <w:rPr>
          <w:rFonts w:cs="Times New Roman"/>
          <w:color w:val="000000"/>
          <w:szCs w:val="28"/>
          <w:lang w:val="vi-VN"/>
        </w:rPr>
        <w:lastRenderedPageBreak/>
        <w:t>quy định của pháp luật về lâm nghiệp, pháp luật về đất đai và quy định khác của pháp luật có liên quan.</w:t>
      </w:r>
    </w:p>
    <w:p w14:paraId="727CF02C" w14:textId="5733D2EE" w:rsidR="00EA4DD7" w:rsidRPr="003D2250" w:rsidRDefault="00EA4DD7" w:rsidP="00CA7664">
      <w:pPr>
        <w:widowControl w:val="0"/>
        <w:spacing w:before="120" w:after="120"/>
        <w:ind w:firstLine="720"/>
        <w:jc w:val="both"/>
        <w:rPr>
          <w:rFonts w:ascii="Times New Roman Bold" w:hAnsi="Times New Roman Bold"/>
          <w:b/>
          <w:bCs/>
          <w:spacing w:val="2"/>
          <w:szCs w:val="28"/>
        </w:rPr>
      </w:pPr>
      <w:r w:rsidRPr="003D2250">
        <w:rPr>
          <w:rFonts w:ascii="Times New Roman Bold" w:hAnsi="Times New Roman Bold"/>
          <w:b/>
          <w:bCs/>
          <w:spacing w:val="2"/>
          <w:szCs w:val="28"/>
        </w:rPr>
        <w:t>Điề</w:t>
      </w:r>
      <w:r w:rsidR="00B211A1">
        <w:rPr>
          <w:rFonts w:ascii="Times New Roman Bold" w:hAnsi="Times New Roman Bold"/>
          <w:b/>
          <w:bCs/>
          <w:spacing w:val="2"/>
          <w:szCs w:val="28"/>
        </w:rPr>
        <w:t>u 3</w:t>
      </w:r>
      <w:r w:rsidRPr="003D2250">
        <w:rPr>
          <w:rFonts w:ascii="Times New Roman Bold" w:hAnsi="Times New Roman Bold"/>
          <w:b/>
          <w:bCs/>
          <w:spacing w:val="2"/>
          <w:szCs w:val="28"/>
        </w:rPr>
        <w:t>.</w:t>
      </w:r>
      <w:r>
        <w:rPr>
          <w:rFonts w:ascii="Times New Roman Bold" w:hAnsi="Times New Roman Bold"/>
          <w:b/>
          <w:bCs/>
          <w:spacing w:val="2"/>
          <w:szCs w:val="28"/>
        </w:rPr>
        <w:t xml:space="preserve"> T</w:t>
      </w:r>
      <w:r w:rsidRPr="003D2250">
        <w:rPr>
          <w:rFonts w:ascii="Times New Roman Bold" w:hAnsi="Times New Roman Bold"/>
          <w:b/>
          <w:bCs/>
          <w:spacing w:val="2"/>
          <w:szCs w:val="28"/>
        </w:rPr>
        <w:t>rình tự, thủ tục quyết định chủ trương chuyển mục đích sử dụng rừng sang mục đích khác của Hội đồ</w:t>
      </w:r>
      <w:r>
        <w:rPr>
          <w:rFonts w:ascii="Times New Roman Bold" w:hAnsi="Times New Roman Bold"/>
          <w:b/>
          <w:bCs/>
          <w:spacing w:val="2"/>
          <w:szCs w:val="28"/>
        </w:rPr>
        <w:t>ng nhân dân</w:t>
      </w:r>
      <w:r w:rsidRPr="003D2250">
        <w:rPr>
          <w:rFonts w:ascii="Times New Roman Bold" w:hAnsi="Times New Roman Bold"/>
          <w:b/>
          <w:bCs/>
          <w:spacing w:val="2"/>
          <w:szCs w:val="28"/>
        </w:rPr>
        <w:t xml:space="preserve"> tỉnh</w:t>
      </w:r>
      <w:r>
        <w:rPr>
          <w:rFonts w:ascii="Times New Roman Bold" w:hAnsi="Times New Roman Bold"/>
          <w:b/>
          <w:bCs/>
          <w:spacing w:val="2"/>
          <w:szCs w:val="28"/>
        </w:rPr>
        <w:t xml:space="preserve"> Thanh Hoá và </w:t>
      </w:r>
      <w:r w:rsidRPr="001945FB">
        <w:rPr>
          <w:rFonts w:ascii="Times New Roman Bold" w:hAnsi="Times New Roman Bold"/>
          <w:b/>
          <w:bCs/>
          <w:spacing w:val="2"/>
          <w:szCs w:val="28"/>
        </w:rPr>
        <w:t>Hội đồng nhân dân</w:t>
      </w:r>
      <w:r>
        <w:rPr>
          <w:rFonts w:ascii="Times New Roman Bold" w:hAnsi="Times New Roman Bold"/>
          <w:b/>
          <w:bCs/>
          <w:spacing w:val="2"/>
          <w:szCs w:val="28"/>
        </w:rPr>
        <w:t xml:space="preserve"> tỉnh Nghệ An</w:t>
      </w:r>
    </w:p>
    <w:p w14:paraId="3E16C03F" w14:textId="56198849" w:rsidR="00EA4DD7" w:rsidRPr="00424AB1" w:rsidRDefault="000955C8"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1</w:t>
      </w:r>
      <w:r w:rsidR="007C7426">
        <w:rPr>
          <w:rFonts w:cs="Times New Roman"/>
          <w:color w:val="000000"/>
          <w:szCs w:val="28"/>
        </w:rPr>
        <w:t xml:space="preserve">. </w:t>
      </w:r>
      <w:r w:rsidR="00EA4DD7" w:rsidRPr="00424AB1">
        <w:rPr>
          <w:rFonts w:cs="Times New Roman"/>
          <w:color w:val="000000"/>
          <w:szCs w:val="28"/>
        </w:rPr>
        <w:t>Tổ chức, cá nhân đề nghị chuyển mục đích sử dụng rừng gửi trực tiếp hoặc qua dịch vụ bưu chính</w:t>
      </w:r>
      <w:r w:rsidR="00EA4DD7">
        <w:rPr>
          <w:rFonts w:cs="Times New Roman"/>
          <w:color w:val="000000"/>
          <w:szCs w:val="28"/>
        </w:rPr>
        <w:t xml:space="preserve"> hoặc qua môi trường điện tử</w:t>
      </w:r>
      <w:r w:rsidR="00EA4DD7" w:rsidRPr="00424AB1">
        <w:rPr>
          <w:rFonts w:cs="Times New Roman"/>
          <w:color w:val="000000"/>
          <w:szCs w:val="28"/>
        </w:rPr>
        <w:t xml:space="preserve"> 01 bộ hồ sơ đến Sở Nông nghiệp và Phát triển nông thôn. Hồ sơ gồm:</w:t>
      </w:r>
    </w:p>
    <w:p w14:paraId="09D9F8E5" w14:textId="77777777" w:rsidR="00EA4DD7" w:rsidRPr="00424AB1" w:rsidRDefault="00EA4DD7"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a)</w:t>
      </w:r>
      <w:r w:rsidRPr="00424AB1">
        <w:rPr>
          <w:rFonts w:cs="Times New Roman"/>
          <w:color w:val="000000"/>
          <w:szCs w:val="28"/>
        </w:rPr>
        <w:t xml:space="preserve"> Văn bản đề nghị chuyển mục đích sử dụng rừ</w:t>
      </w:r>
      <w:r>
        <w:rPr>
          <w:rFonts w:cs="Times New Roman"/>
          <w:color w:val="000000"/>
          <w:szCs w:val="28"/>
        </w:rPr>
        <w:t>ng</w:t>
      </w:r>
      <w:r w:rsidRPr="00424AB1">
        <w:rPr>
          <w:rFonts w:cs="Times New Roman"/>
          <w:color w:val="000000"/>
          <w:szCs w:val="28"/>
        </w:rPr>
        <w:t>;</w:t>
      </w:r>
    </w:p>
    <w:p w14:paraId="0A2E3206" w14:textId="77777777" w:rsidR="00EA4DD7" w:rsidRPr="00424AB1" w:rsidRDefault="00EA4DD7"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b)</w:t>
      </w:r>
      <w:r w:rsidRPr="00424AB1">
        <w:rPr>
          <w:rFonts w:cs="Times New Roman"/>
          <w:color w:val="000000"/>
          <w:szCs w:val="28"/>
        </w:rPr>
        <w:t xml:space="preserve"> Báo cáo đề xuất dự án đầu tư hoặc báo cáo nghiên cứu tiền khả thi kèm theo văn bản thẩm định của cơ quan nhà nước có thẩm quyền (đối với dự án đã được cơ quan nhà nước có thẩm quyền chấp thuận chủ trương đầu tư hoặc quyết định đầu tư: Chấp thuận chủ trương đầu tư hoặc Giấy chứng nhận đăng ký đầu tư của cơ quan nhà nước có thẩm quyền theo quy định của Luật Đầu tư; chấp thuận chủ trương đầu tư hoặc Quyết định đầu tư của cơ quan nhà nước có thẩm quyền theo quy định của Luật Đầu tư công; Giấy phép đầu tư hoặc Giấy chứng nhận đầu tư của cơ quan nhà nước có thẩm quyền cấp còn hiệu lực thực hiện);</w:t>
      </w:r>
    </w:p>
    <w:p w14:paraId="2941D8F0" w14:textId="77777777" w:rsidR="0072116D" w:rsidRPr="0072116D" w:rsidRDefault="0072116D" w:rsidP="00CA7664">
      <w:pPr>
        <w:widowControl w:val="0"/>
        <w:spacing w:before="120" w:after="120"/>
        <w:ind w:firstLine="720"/>
        <w:jc w:val="both"/>
        <w:rPr>
          <w:rFonts w:cs="Times New Roman"/>
          <w:bCs/>
          <w:color w:val="000000" w:themeColor="text1"/>
          <w:szCs w:val="28"/>
          <w:lang w:val="vi-VN"/>
        </w:rPr>
      </w:pPr>
      <w:r>
        <w:rPr>
          <w:color w:val="000000" w:themeColor="text1"/>
          <w:spacing w:val="-2"/>
          <w:position w:val="-2"/>
          <w:szCs w:val="28"/>
          <w:lang w:val="vi-VN"/>
        </w:rPr>
        <w:t xml:space="preserve">c) </w:t>
      </w:r>
      <w:r w:rsidRPr="00CF4810">
        <w:rPr>
          <w:color w:val="000000" w:themeColor="text1"/>
          <w:spacing w:val="-2"/>
          <w:position w:val="-2"/>
          <w:szCs w:val="28"/>
          <w:lang w:val="vi-VN"/>
        </w:rPr>
        <w:t>Tài liệu về đánh giá tác động môi trườ</w:t>
      </w:r>
      <w:r>
        <w:rPr>
          <w:color w:val="000000" w:themeColor="text1"/>
          <w:spacing w:val="-2"/>
          <w:position w:val="-2"/>
          <w:szCs w:val="28"/>
          <w:lang w:val="vi-VN"/>
        </w:rPr>
        <w:t>ng của dự án</w:t>
      </w:r>
      <w:r w:rsidRPr="00CF4810">
        <w:rPr>
          <w:color w:val="000000" w:themeColor="text1"/>
          <w:spacing w:val="-2"/>
          <w:position w:val="-2"/>
          <w:szCs w:val="28"/>
          <w:lang w:val="vi-VN"/>
        </w:rPr>
        <w:t xml:space="preserve"> là một trong các tài liệu sau: </w:t>
      </w:r>
      <w:r>
        <w:rPr>
          <w:color w:val="000000" w:themeColor="text1"/>
          <w:spacing w:val="-2"/>
          <w:position w:val="-2"/>
          <w:szCs w:val="28"/>
        </w:rPr>
        <w:t>Đ</w:t>
      </w:r>
      <w:r w:rsidRPr="00CF4810">
        <w:rPr>
          <w:color w:val="000000" w:themeColor="text1"/>
          <w:spacing w:val="-2"/>
          <w:position w:val="-2"/>
          <w:szCs w:val="28"/>
          <w:lang w:val="vi-VN"/>
        </w:rPr>
        <w:t>ánh giá sơ bộ tác động môi trường hoặc báo cáo đánh giá tác động môi trường hoặc quyết định phê duyệt báo cáo đánh giá tác động môi trường hoặc kế hoạch bảo vệ môi trường theo quy định của pháp luật về bảo vệ môi trường, pháp luật về đầu tư</w:t>
      </w:r>
      <w:r>
        <w:rPr>
          <w:color w:val="000000" w:themeColor="text1"/>
          <w:spacing w:val="-2"/>
          <w:position w:val="-2"/>
          <w:szCs w:val="28"/>
          <w:lang w:val="vi-VN"/>
        </w:rPr>
        <w:t>;</w:t>
      </w:r>
    </w:p>
    <w:p w14:paraId="5E2C30F9" w14:textId="77777777" w:rsidR="00EA4DD7" w:rsidRPr="003B6C0A" w:rsidRDefault="00EA4DD7" w:rsidP="00CA7664">
      <w:pPr>
        <w:widowControl w:val="0"/>
        <w:spacing w:before="120" w:after="120"/>
        <w:ind w:firstLine="720"/>
        <w:jc w:val="both"/>
        <w:rPr>
          <w:rFonts w:eastAsia="Calibri"/>
          <w:szCs w:val="28"/>
          <w:lang w:val="da-DK"/>
        </w:rPr>
      </w:pPr>
      <w:r>
        <w:rPr>
          <w:rFonts w:cs="Times New Roman"/>
          <w:color w:val="000000"/>
          <w:szCs w:val="28"/>
        </w:rPr>
        <w:t>d)</w:t>
      </w:r>
      <w:r w:rsidRPr="00424AB1">
        <w:rPr>
          <w:rFonts w:cs="Times New Roman"/>
          <w:color w:val="000000"/>
          <w:szCs w:val="28"/>
        </w:rPr>
        <w:t xml:space="preserve"> </w:t>
      </w:r>
      <w:r w:rsidRPr="00C51D41">
        <w:rPr>
          <w:rFonts w:eastAsia="Calibri"/>
          <w:szCs w:val="28"/>
          <w:lang w:val="da-DK"/>
        </w:rPr>
        <w:t>Báo cáo thuyết minh,</w:t>
      </w:r>
      <w:r w:rsidRPr="00C51D41">
        <w:rPr>
          <w:rFonts w:eastAsia="Calibri"/>
          <w:szCs w:val="28"/>
          <w:lang w:val="vi-VN"/>
        </w:rPr>
        <w:t xml:space="preserve"> bản đồ </w:t>
      </w:r>
      <w:r w:rsidRPr="00C51D41">
        <w:rPr>
          <w:rFonts w:eastAsia="Calibri"/>
          <w:szCs w:val="28"/>
          <w:lang w:val="da-DK"/>
        </w:rPr>
        <w:t xml:space="preserve">hiện trạng rừng </w:t>
      </w:r>
      <w:r w:rsidRPr="00C51D41">
        <w:rPr>
          <w:szCs w:val="28"/>
        </w:rPr>
        <w:t>(tỷ lệ bản đồ 1/2.000 đối với diện tích đề nghị chuyển mục đích sử dụng rừng dưới 500 ha, tỷ lệ 1/5.000 đối với diện tích đề nghị chuyển mục đích sử dụng rừng từ 500 ha trở lên)</w:t>
      </w:r>
      <w:r w:rsidRPr="00C51D41">
        <w:rPr>
          <w:rFonts w:eastAsia="Calibri"/>
          <w:szCs w:val="28"/>
          <w:lang w:val="da-DK"/>
        </w:rPr>
        <w:t>, kết quả điều tra rừng khu</w:t>
      </w:r>
      <w:r w:rsidRPr="00C51D41">
        <w:rPr>
          <w:rFonts w:eastAsia="Calibri"/>
          <w:szCs w:val="28"/>
          <w:lang w:val="vi-VN"/>
        </w:rPr>
        <w:t xml:space="preserve"> vực </w:t>
      </w:r>
      <w:r w:rsidRPr="00C51D41">
        <w:rPr>
          <w:rFonts w:eastAsia="Calibri"/>
          <w:szCs w:val="28"/>
          <w:lang w:val="da-DK"/>
        </w:rPr>
        <w:t>đề nghị</w:t>
      </w:r>
      <w:r w:rsidRPr="00C51D41">
        <w:rPr>
          <w:szCs w:val="28"/>
        </w:rPr>
        <w:t xml:space="preserve"> quyết định chủ trương chuyển mục đích sử dụng  rừng (diện tích rừng, trữ lượng rừng)</w:t>
      </w:r>
      <w:r w:rsidRPr="00424AB1">
        <w:rPr>
          <w:rFonts w:cs="Times New Roman"/>
          <w:color w:val="000000"/>
          <w:szCs w:val="28"/>
        </w:rPr>
        <w:t>.</w:t>
      </w:r>
    </w:p>
    <w:p w14:paraId="605FACBA" w14:textId="677F15F6" w:rsidR="00EA4DD7" w:rsidRPr="00424AB1" w:rsidRDefault="000955C8"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2</w:t>
      </w:r>
      <w:r w:rsidR="00EA4DD7">
        <w:rPr>
          <w:rFonts w:cs="Times New Roman"/>
          <w:color w:val="000000"/>
          <w:szCs w:val="28"/>
        </w:rPr>
        <w:t xml:space="preserve">. </w:t>
      </w:r>
      <w:r w:rsidR="00EA4DD7" w:rsidRPr="00424AB1">
        <w:rPr>
          <w:rFonts w:cs="Times New Roman"/>
          <w:color w:val="000000"/>
          <w:szCs w:val="28"/>
        </w:rPr>
        <w:t>Trường hợp hồ sơ không hợp lệ, trong thời hạn 03 ngày làm việc kể từ ngày nhận được hồ sơ, Sở Nông nghiệp và Phát triển nông thôn trả lời bằng văn bản cho tổ chức, cá nhân đề nghị chuyển mục đích sử dụng rừng.</w:t>
      </w:r>
    </w:p>
    <w:p w14:paraId="51724777" w14:textId="77777777" w:rsidR="00EA4DD7" w:rsidRPr="00424AB1" w:rsidRDefault="00EA4DD7" w:rsidP="00CA7664">
      <w:pPr>
        <w:widowControl w:val="0"/>
        <w:shd w:val="clear" w:color="auto" w:fill="FFFFFF"/>
        <w:spacing w:before="120" w:after="120"/>
        <w:ind w:firstLine="709"/>
        <w:jc w:val="both"/>
        <w:rPr>
          <w:rFonts w:cs="Times New Roman"/>
          <w:color w:val="000000"/>
          <w:szCs w:val="28"/>
        </w:rPr>
      </w:pPr>
      <w:r w:rsidRPr="00424AB1">
        <w:rPr>
          <w:rFonts w:cs="Times New Roman"/>
          <w:color w:val="000000"/>
          <w:szCs w:val="28"/>
        </w:rPr>
        <w:t>Trong thời hạ</w:t>
      </w:r>
      <w:r>
        <w:rPr>
          <w:rFonts w:cs="Times New Roman"/>
          <w:color w:val="000000"/>
          <w:szCs w:val="28"/>
        </w:rPr>
        <w:t>n 03</w:t>
      </w:r>
      <w:r w:rsidRPr="00424AB1">
        <w:rPr>
          <w:rFonts w:cs="Times New Roman"/>
          <w:color w:val="000000"/>
          <w:szCs w:val="28"/>
        </w:rPr>
        <w:t xml:space="preserve"> ngày làm việc kể từ ngày nhận đủ hồ sơ hợp lệ, Giám đốc Sở Nông nghiệp và Phát triển nông thôn báo cáo Ủy ban nhân dân cấp tỉnh.</w:t>
      </w:r>
    </w:p>
    <w:p w14:paraId="282C8FA7" w14:textId="2000BF1F" w:rsidR="00EA4DD7" w:rsidRPr="00424AB1" w:rsidRDefault="000955C8"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3</w:t>
      </w:r>
      <w:r w:rsidR="00EA4DD7">
        <w:rPr>
          <w:rFonts w:cs="Times New Roman"/>
          <w:color w:val="000000"/>
          <w:szCs w:val="28"/>
        </w:rPr>
        <w:t>.</w:t>
      </w:r>
      <w:r w:rsidR="00EA4DD7" w:rsidRPr="00424AB1">
        <w:rPr>
          <w:rFonts w:cs="Times New Roman"/>
          <w:color w:val="000000"/>
          <w:szCs w:val="28"/>
        </w:rPr>
        <w:t xml:space="preserve"> Trong thời hạ</w:t>
      </w:r>
      <w:r w:rsidR="00EA4DD7">
        <w:rPr>
          <w:rFonts w:cs="Times New Roman"/>
          <w:color w:val="000000"/>
          <w:szCs w:val="28"/>
        </w:rPr>
        <w:t>n 15</w:t>
      </w:r>
      <w:r w:rsidR="00EA4DD7" w:rsidRPr="00424AB1">
        <w:rPr>
          <w:rFonts w:cs="Times New Roman"/>
          <w:color w:val="000000"/>
          <w:szCs w:val="28"/>
        </w:rPr>
        <w:t xml:space="preserve"> ngày làm việc kể từ ngày nhận đủ hồ sơ hợp lệ, Ủy ban nhân dân cấp tỉnh tổ chức thẩm định nội dung trình phê duyệt chủ trương chuyển mục đích sử dụng rừng. Nội dung thẩm định gồm:</w:t>
      </w:r>
    </w:p>
    <w:p w14:paraId="508FB0F7" w14:textId="77777777" w:rsidR="00EA4DD7" w:rsidRPr="00424AB1" w:rsidRDefault="00EA4DD7"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a)</w:t>
      </w:r>
      <w:r w:rsidRPr="00424AB1">
        <w:rPr>
          <w:rFonts w:cs="Times New Roman"/>
          <w:color w:val="000000"/>
          <w:szCs w:val="28"/>
        </w:rPr>
        <w:t xml:space="preserve"> Cơ sở pháp lý;</w:t>
      </w:r>
    </w:p>
    <w:p w14:paraId="3384CF85" w14:textId="77777777" w:rsidR="00EA4DD7" w:rsidRPr="00424AB1" w:rsidRDefault="00EA4DD7"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b)</w:t>
      </w:r>
      <w:r w:rsidRPr="00424AB1">
        <w:rPr>
          <w:rFonts w:cs="Times New Roman"/>
          <w:color w:val="000000"/>
          <w:szCs w:val="28"/>
        </w:rPr>
        <w:t xml:space="preserve"> Thành phần, nội dung hồ sơ;</w:t>
      </w:r>
    </w:p>
    <w:p w14:paraId="0919E85A" w14:textId="77777777" w:rsidR="00EA4DD7" w:rsidRPr="00424AB1" w:rsidRDefault="00EA4DD7"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c)</w:t>
      </w:r>
      <w:r w:rsidRPr="00424AB1">
        <w:rPr>
          <w:rFonts w:cs="Times New Roman"/>
          <w:color w:val="000000"/>
          <w:szCs w:val="28"/>
        </w:rPr>
        <w:t xml:space="preserve"> Sự cần thiết đầu tư dự án;</w:t>
      </w:r>
    </w:p>
    <w:p w14:paraId="41F37FAA" w14:textId="77777777" w:rsidR="00EA4DD7" w:rsidRPr="00424AB1" w:rsidRDefault="00EA4DD7"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lastRenderedPageBreak/>
        <w:t>d)</w:t>
      </w:r>
      <w:r w:rsidRPr="00424AB1">
        <w:rPr>
          <w:rFonts w:cs="Times New Roman"/>
          <w:color w:val="000000"/>
          <w:szCs w:val="28"/>
        </w:rPr>
        <w:t xml:space="preserve"> Vị trí (lô, khoảnh, tiểu khu, địa danh hành chính), kết quả điều tra rừng (diện tích rừng, trữ lượng rừng); diện tích theo: loại rừng (rừng đặc dụng, rừng phòng hộ, rừng sản xuất), loài cây trồ</w:t>
      </w:r>
      <w:r w:rsidR="0072116D">
        <w:rPr>
          <w:rFonts w:cs="Times New Roman"/>
          <w:color w:val="000000"/>
          <w:szCs w:val="28"/>
        </w:rPr>
        <w:t>ng</w:t>
      </w:r>
      <w:r w:rsidRPr="00424AB1">
        <w:rPr>
          <w:rFonts w:cs="Times New Roman"/>
          <w:color w:val="000000"/>
          <w:szCs w:val="28"/>
        </w:rPr>
        <w:t>;</w:t>
      </w:r>
    </w:p>
    <w:p w14:paraId="357574B9" w14:textId="77777777" w:rsidR="00EA4DD7" w:rsidRPr="00424AB1" w:rsidRDefault="00EA4DD7"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đ)</w:t>
      </w:r>
      <w:r w:rsidRPr="00424AB1">
        <w:rPr>
          <w:rFonts w:cs="Times New Roman"/>
          <w:color w:val="000000"/>
          <w:szCs w:val="28"/>
        </w:rPr>
        <w:t xml:space="preserve"> Sự tuân thủ các quy định của pháp luật có liên quan;</w:t>
      </w:r>
    </w:p>
    <w:p w14:paraId="760BC07C" w14:textId="77777777" w:rsidR="00EA4DD7" w:rsidRPr="00424AB1" w:rsidRDefault="00EA4DD7"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e)</w:t>
      </w:r>
      <w:r w:rsidRPr="00424AB1">
        <w:rPr>
          <w:rFonts w:cs="Times New Roman"/>
          <w:color w:val="000000"/>
          <w:szCs w:val="28"/>
        </w:rPr>
        <w:t xml:space="preserve"> Sự phù hợp với quy hoạch, kế hoạch sử dụng đất, quy hoạch lâm nghiệp quốc gia theo quy định của pháp luật về quy hoạch;</w:t>
      </w:r>
    </w:p>
    <w:p w14:paraId="3BE448BD" w14:textId="77777777" w:rsidR="00EA4DD7" w:rsidRPr="00424AB1" w:rsidRDefault="00EA4DD7"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g)</w:t>
      </w:r>
      <w:r w:rsidRPr="00424AB1">
        <w:rPr>
          <w:rFonts w:cs="Times New Roman"/>
          <w:color w:val="000000"/>
          <w:szCs w:val="28"/>
        </w:rPr>
        <w:t xml:space="preserve"> Hiệu quả kinh tế - xã hội; đánh giá tác động đến môi trường của dự án theo quy định của pháp luật về bảo vệ môi trường, đầu tư, đầu tư công.</w:t>
      </w:r>
    </w:p>
    <w:p w14:paraId="3FC73F85" w14:textId="77777777" w:rsidR="00EA4DD7" w:rsidRPr="00424AB1" w:rsidRDefault="00EA4DD7" w:rsidP="00CA7664">
      <w:pPr>
        <w:widowControl w:val="0"/>
        <w:shd w:val="clear" w:color="auto" w:fill="FFFFFF"/>
        <w:spacing w:before="120" w:after="120"/>
        <w:ind w:firstLine="709"/>
        <w:jc w:val="both"/>
        <w:rPr>
          <w:rFonts w:cs="Times New Roman"/>
          <w:color w:val="000000"/>
          <w:spacing w:val="-4"/>
          <w:szCs w:val="28"/>
        </w:rPr>
      </w:pPr>
      <w:r w:rsidRPr="00424AB1">
        <w:rPr>
          <w:rFonts w:cs="Times New Roman"/>
          <w:color w:val="000000"/>
          <w:spacing w:val="-4"/>
          <w:szCs w:val="28"/>
        </w:rPr>
        <w:t>Trường hợp kết quả thẩm định không đủ điều kiện, Ủy ban nhân dân cấp tỉnh trả lời bằng văn bản cho tổ chức, cá nhân đề nghị chuyển mục đích sử dụng rừng.</w:t>
      </w:r>
    </w:p>
    <w:p w14:paraId="591E2953" w14:textId="3AEABDBA" w:rsidR="00EA4DD7" w:rsidRDefault="000955C8" w:rsidP="00CA7664">
      <w:pPr>
        <w:widowControl w:val="0"/>
        <w:shd w:val="clear" w:color="auto" w:fill="FFFFFF"/>
        <w:spacing w:before="120" w:after="120"/>
        <w:ind w:firstLine="709"/>
        <w:jc w:val="both"/>
        <w:rPr>
          <w:rFonts w:eastAsia="Calibri"/>
          <w:szCs w:val="28"/>
          <w:lang w:val="da-DK"/>
        </w:rPr>
      </w:pPr>
      <w:r>
        <w:rPr>
          <w:rFonts w:cs="Times New Roman"/>
          <w:color w:val="000000"/>
          <w:szCs w:val="28"/>
        </w:rPr>
        <w:t>4</w:t>
      </w:r>
      <w:r w:rsidR="00EA4DD7">
        <w:rPr>
          <w:rFonts w:cs="Times New Roman"/>
          <w:color w:val="000000"/>
          <w:szCs w:val="28"/>
        </w:rPr>
        <w:t>.</w:t>
      </w:r>
      <w:r w:rsidR="00EA4DD7" w:rsidRPr="00424AB1">
        <w:rPr>
          <w:rFonts w:cs="Times New Roman"/>
          <w:color w:val="000000"/>
          <w:szCs w:val="28"/>
        </w:rPr>
        <w:t xml:space="preserve"> </w:t>
      </w:r>
      <w:r w:rsidR="00EA4DD7" w:rsidRPr="001945FB">
        <w:rPr>
          <w:szCs w:val="28"/>
          <w:lang w:val="da-DK"/>
        </w:rPr>
        <w:t>T</w:t>
      </w:r>
      <w:r w:rsidR="00EA4DD7" w:rsidRPr="001945FB">
        <w:rPr>
          <w:rFonts w:eastAsia="Calibri"/>
          <w:szCs w:val="28"/>
          <w:lang w:val="da-DK"/>
        </w:rPr>
        <w:t>rong thời hạn 1</w:t>
      </w:r>
      <w:r w:rsidR="00EA4DD7" w:rsidRPr="007722E4">
        <w:rPr>
          <w:rFonts w:eastAsia="Calibri"/>
          <w:szCs w:val="28"/>
          <w:lang w:val="da-DK"/>
        </w:rPr>
        <w:t>0</w:t>
      </w:r>
      <w:r w:rsidR="00EA4DD7" w:rsidRPr="001945FB">
        <w:rPr>
          <w:rFonts w:eastAsia="Calibri"/>
          <w:szCs w:val="28"/>
          <w:lang w:val="da-DK"/>
        </w:rPr>
        <w:t xml:space="preserve"> ngày làm việ</w:t>
      </w:r>
      <w:r w:rsidR="00EA4DD7" w:rsidRPr="007722E4">
        <w:rPr>
          <w:rFonts w:eastAsia="Calibri"/>
          <w:szCs w:val="28"/>
          <w:lang w:val="da-DK"/>
        </w:rPr>
        <w:t xml:space="preserve">c </w:t>
      </w:r>
      <w:r w:rsidR="00EA4DD7" w:rsidRPr="000955C8">
        <w:rPr>
          <w:rFonts w:eastAsia="Calibri"/>
          <w:szCs w:val="28"/>
          <w:lang w:val="da-DK"/>
        </w:rPr>
        <w:t>kể từ ngày</w:t>
      </w:r>
      <w:r w:rsidRPr="000955C8">
        <w:rPr>
          <w:rFonts w:eastAsia="Calibri"/>
          <w:szCs w:val="28"/>
          <w:lang w:val="da-DK"/>
        </w:rPr>
        <w:t xml:space="preserve"> có kết </w:t>
      </w:r>
      <w:r>
        <w:rPr>
          <w:rFonts w:eastAsia="Calibri"/>
          <w:szCs w:val="28"/>
          <w:lang w:val="da-DK"/>
        </w:rPr>
        <w:t>quả</w:t>
      </w:r>
      <w:r w:rsidRPr="000955C8">
        <w:rPr>
          <w:rFonts w:eastAsia="Calibri"/>
          <w:szCs w:val="28"/>
          <w:lang w:val="da-DK"/>
        </w:rPr>
        <w:t xml:space="preserve"> thẩm định</w:t>
      </w:r>
      <w:r w:rsidR="00EA4DD7" w:rsidRPr="000955C8">
        <w:rPr>
          <w:rFonts w:eastAsia="Calibri"/>
          <w:szCs w:val="28"/>
          <w:lang w:val="da-DK"/>
        </w:rPr>
        <w:t>,</w:t>
      </w:r>
      <w:r w:rsidR="00EA4DD7" w:rsidRPr="001945FB">
        <w:rPr>
          <w:rFonts w:eastAsia="Calibri"/>
          <w:szCs w:val="28"/>
          <w:lang w:val="da-DK"/>
        </w:rPr>
        <w:t xml:space="preserve"> Ủy ban nhân dân cấp tỉnh </w:t>
      </w:r>
      <w:r w:rsidR="00EA4DD7" w:rsidRPr="007722E4">
        <w:rPr>
          <w:rFonts w:eastAsia="Calibri"/>
          <w:szCs w:val="28"/>
          <w:lang w:val="da-DK"/>
        </w:rPr>
        <w:t xml:space="preserve">tổng hợp, </w:t>
      </w:r>
      <w:r w:rsidR="00EA4DD7" w:rsidRPr="001945FB">
        <w:rPr>
          <w:rFonts w:eastAsia="Calibri"/>
          <w:szCs w:val="28"/>
          <w:lang w:val="da-DK"/>
        </w:rPr>
        <w:t xml:space="preserve">trình Hội đồng nhân dân </w:t>
      </w:r>
      <w:r w:rsidR="00EA4DD7" w:rsidRPr="007722E4">
        <w:rPr>
          <w:rFonts w:eastAsia="Calibri"/>
          <w:szCs w:val="28"/>
          <w:lang w:val="da-DK"/>
        </w:rPr>
        <w:t xml:space="preserve">cấp tỉnh </w:t>
      </w:r>
      <w:r w:rsidR="00EA4DD7" w:rsidRPr="001945FB">
        <w:rPr>
          <w:rFonts w:eastAsia="Calibri"/>
          <w:szCs w:val="28"/>
          <w:lang w:val="da-DK"/>
        </w:rPr>
        <w:t>xem xét, quyết định chủ trương chuyển mục đích sử dụng rừ</w:t>
      </w:r>
      <w:r w:rsidR="00EA4DD7" w:rsidRPr="007722E4">
        <w:rPr>
          <w:rFonts w:eastAsia="Calibri"/>
          <w:szCs w:val="28"/>
          <w:lang w:val="da-DK"/>
        </w:rPr>
        <w:t>ng</w:t>
      </w:r>
      <w:r w:rsidR="00EA4DD7">
        <w:rPr>
          <w:rFonts w:eastAsia="Calibri"/>
          <w:szCs w:val="28"/>
          <w:lang w:val="da-DK"/>
        </w:rPr>
        <w:t xml:space="preserve">. </w:t>
      </w:r>
      <w:r w:rsidR="00EA4DD7" w:rsidRPr="00424AB1">
        <w:rPr>
          <w:rFonts w:cs="Times New Roman"/>
          <w:color w:val="000000"/>
          <w:szCs w:val="28"/>
        </w:rPr>
        <w:t>Hồ sơ gồm: Tờ trình của Ủy ban nhân dân cấp tỉnh, hồ sơ quy định tại điểm b, c khoản này và các tài liệu khác có liên quan (nếu có).</w:t>
      </w:r>
    </w:p>
    <w:p w14:paraId="75243BE1" w14:textId="77777777" w:rsidR="00EA4DD7" w:rsidRPr="00424AB1" w:rsidRDefault="00EA4DD7" w:rsidP="00CA7664">
      <w:pPr>
        <w:widowControl w:val="0"/>
        <w:spacing w:before="120" w:after="120"/>
        <w:ind w:firstLine="720"/>
        <w:jc w:val="both"/>
        <w:rPr>
          <w:rFonts w:cs="Times New Roman"/>
          <w:color w:val="000000"/>
          <w:szCs w:val="28"/>
        </w:rPr>
      </w:pPr>
      <w:r w:rsidRPr="00424AB1">
        <w:rPr>
          <w:rFonts w:cs="Times New Roman"/>
          <w:color w:val="000000"/>
          <w:szCs w:val="28"/>
        </w:rPr>
        <w:t>Tờ trình của Ủy ban nhân dân cấp tỉnh gồm những nội dung cơ bản:</w:t>
      </w:r>
    </w:p>
    <w:p w14:paraId="0A1A0D2B" w14:textId="77777777" w:rsidR="00EA4DD7" w:rsidRPr="00424AB1" w:rsidRDefault="00EA4DD7"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a)</w:t>
      </w:r>
      <w:r w:rsidRPr="00424AB1">
        <w:rPr>
          <w:rFonts w:cs="Times New Roman"/>
          <w:color w:val="000000"/>
          <w:szCs w:val="28"/>
        </w:rPr>
        <w:t xml:space="preserve"> Thông tin chung về dự án;</w:t>
      </w:r>
    </w:p>
    <w:p w14:paraId="2477E9CA" w14:textId="77777777" w:rsidR="00EA4DD7" w:rsidRPr="00424AB1" w:rsidRDefault="00EA4DD7"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b)</w:t>
      </w:r>
      <w:r w:rsidRPr="00424AB1">
        <w:rPr>
          <w:rFonts w:cs="Times New Roman"/>
          <w:color w:val="000000"/>
          <w:szCs w:val="28"/>
        </w:rPr>
        <w:t xml:space="preserve"> Sự cần thiết đầu tư dự án;</w:t>
      </w:r>
    </w:p>
    <w:p w14:paraId="2750A295" w14:textId="77777777" w:rsidR="00EA4DD7" w:rsidRPr="00424AB1" w:rsidRDefault="00EA4DD7"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c)</w:t>
      </w:r>
      <w:r w:rsidRPr="00424AB1">
        <w:rPr>
          <w:rFonts w:cs="Times New Roman"/>
          <w:color w:val="000000"/>
          <w:szCs w:val="28"/>
        </w:rPr>
        <w:t xml:space="preserve"> Vị trí (lô, khoảnh, tiểu khu, địa danh hành chính), kết quả điều tra rừng (diện tích rừng, trữ lượng rừng); diện tích theo: loại rừng (rừng đặc dụng, rừng phòng hộ, rừng sản xuất), loài cây trồ</w:t>
      </w:r>
      <w:r w:rsidR="0072116D">
        <w:rPr>
          <w:rFonts w:cs="Times New Roman"/>
          <w:color w:val="000000"/>
          <w:szCs w:val="28"/>
        </w:rPr>
        <w:t>ng</w:t>
      </w:r>
      <w:r w:rsidRPr="00424AB1">
        <w:rPr>
          <w:rFonts w:cs="Times New Roman"/>
          <w:color w:val="000000"/>
          <w:szCs w:val="28"/>
        </w:rPr>
        <w:t>;</w:t>
      </w:r>
    </w:p>
    <w:p w14:paraId="5B79EA72" w14:textId="77777777" w:rsidR="00EA4DD7" w:rsidRPr="00424AB1" w:rsidRDefault="00EA4DD7"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d)</w:t>
      </w:r>
      <w:r w:rsidRPr="00424AB1">
        <w:rPr>
          <w:rFonts w:cs="Times New Roman"/>
          <w:color w:val="000000"/>
          <w:szCs w:val="28"/>
        </w:rPr>
        <w:t xml:space="preserve"> Sự tuân thủ các quy định của pháp luật có liên quan;</w:t>
      </w:r>
    </w:p>
    <w:p w14:paraId="6F23F9B8" w14:textId="77777777" w:rsidR="00EA4DD7" w:rsidRPr="00424AB1" w:rsidRDefault="00EA4DD7"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đ)</w:t>
      </w:r>
      <w:r w:rsidRPr="00424AB1">
        <w:rPr>
          <w:rFonts w:cs="Times New Roman"/>
          <w:color w:val="000000"/>
          <w:szCs w:val="28"/>
        </w:rPr>
        <w:t xml:space="preserve"> Sự phù hợp với quy hoạch, kế hoạch sử dụng đất, quy hoạch lâm nghiệp quốc gia theo quy định của pháp luật về quy hoạch;</w:t>
      </w:r>
    </w:p>
    <w:p w14:paraId="522FEDAC" w14:textId="77777777" w:rsidR="00EA4DD7" w:rsidRPr="00424AB1" w:rsidRDefault="00EA4DD7" w:rsidP="00CA7664">
      <w:pPr>
        <w:widowControl w:val="0"/>
        <w:shd w:val="clear" w:color="auto" w:fill="FFFFFF"/>
        <w:spacing w:before="120" w:after="120"/>
        <w:ind w:firstLine="709"/>
        <w:jc w:val="both"/>
        <w:rPr>
          <w:rFonts w:cs="Times New Roman"/>
          <w:color w:val="000000"/>
          <w:szCs w:val="28"/>
        </w:rPr>
      </w:pPr>
      <w:r>
        <w:rPr>
          <w:rFonts w:cs="Times New Roman"/>
          <w:color w:val="000000"/>
          <w:szCs w:val="28"/>
        </w:rPr>
        <w:t>e)</w:t>
      </w:r>
      <w:r w:rsidRPr="00424AB1">
        <w:rPr>
          <w:rFonts w:cs="Times New Roman"/>
          <w:color w:val="000000"/>
          <w:szCs w:val="28"/>
        </w:rPr>
        <w:t xml:space="preserve"> Hiệu quả kinh tế - xã hội; mức độ tác động đến môi trường của dự án theo quy định của pháp luật về bảo vệ môi trường, đầu tư và đầu tư công.</w:t>
      </w:r>
    </w:p>
    <w:p w14:paraId="13BDB3A2" w14:textId="156EFC41" w:rsidR="00EA4DD7" w:rsidRDefault="000955C8" w:rsidP="00CA7664">
      <w:pPr>
        <w:widowControl w:val="0"/>
        <w:spacing w:before="120" w:after="120"/>
        <w:ind w:firstLine="720"/>
        <w:jc w:val="both"/>
        <w:rPr>
          <w:rFonts w:eastAsia="Calibri"/>
          <w:szCs w:val="28"/>
          <w:lang w:val="da-DK"/>
        </w:rPr>
      </w:pPr>
      <w:r>
        <w:rPr>
          <w:rFonts w:eastAsia="Calibri"/>
          <w:szCs w:val="28"/>
          <w:lang w:val="da-DK"/>
        </w:rPr>
        <w:t>5</w:t>
      </w:r>
      <w:r w:rsidR="00EA4DD7">
        <w:rPr>
          <w:rFonts w:eastAsia="Calibri"/>
          <w:szCs w:val="28"/>
          <w:lang w:val="da-DK"/>
        </w:rPr>
        <w:t xml:space="preserve">. </w:t>
      </w:r>
      <w:r w:rsidR="00EA4DD7" w:rsidRPr="001945FB">
        <w:rPr>
          <w:rFonts w:eastAsia="Calibri"/>
          <w:szCs w:val="28"/>
          <w:lang w:val="da-DK"/>
        </w:rPr>
        <w:t>Hội đồng nhân dân</w:t>
      </w:r>
      <w:r w:rsidR="00EA4DD7" w:rsidRPr="007722E4">
        <w:rPr>
          <w:rFonts w:eastAsia="Calibri"/>
          <w:szCs w:val="28"/>
          <w:lang w:val="da-DK"/>
        </w:rPr>
        <w:t xml:space="preserve"> cấp tỉnh</w:t>
      </w:r>
      <w:r w:rsidR="00EA4DD7" w:rsidRPr="001945FB">
        <w:rPr>
          <w:rFonts w:eastAsia="Calibri"/>
          <w:szCs w:val="28"/>
          <w:lang w:val="da-DK"/>
        </w:rPr>
        <w:t xml:space="preserve"> xem xét</w:t>
      </w:r>
      <w:r w:rsidR="00EA4DD7" w:rsidRPr="007722E4">
        <w:rPr>
          <w:rFonts w:eastAsia="Calibri"/>
          <w:szCs w:val="28"/>
          <w:lang w:val="da-DK"/>
        </w:rPr>
        <w:t>,</w:t>
      </w:r>
      <w:r w:rsidR="00EA4DD7" w:rsidRPr="001945FB">
        <w:rPr>
          <w:rFonts w:eastAsia="Calibri"/>
          <w:szCs w:val="28"/>
          <w:lang w:val="da-DK"/>
        </w:rPr>
        <w:t xml:space="preserve"> quyết định chủ trương chuyển mục đích sử dụng rừng sang mụ</w:t>
      </w:r>
      <w:r w:rsidR="00EA4DD7">
        <w:rPr>
          <w:rFonts w:eastAsia="Calibri"/>
          <w:szCs w:val="28"/>
          <w:lang w:val="da-DK"/>
        </w:rPr>
        <w:t>c đích khác</w:t>
      </w:r>
      <w:r w:rsidR="00EA4DD7" w:rsidRPr="001945FB">
        <w:rPr>
          <w:rFonts w:eastAsia="Calibri"/>
          <w:szCs w:val="28"/>
          <w:lang w:val="da-DK"/>
        </w:rPr>
        <w:t xml:space="preserve"> theo quy chế làm việc của Hội đồng nhân dân cấp tỉnh.</w:t>
      </w:r>
      <w:r w:rsidR="00EA4DD7" w:rsidRPr="007722E4">
        <w:rPr>
          <w:rFonts w:eastAsia="Calibri"/>
          <w:szCs w:val="28"/>
          <w:lang w:val="da-DK"/>
        </w:rPr>
        <w:t xml:space="preserve"> </w:t>
      </w:r>
    </w:p>
    <w:p w14:paraId="0EA2E65B" w14:textId="174C4EAC" w:rsidR="00EA4DD7" w:rsidRPr="00990F17" w:rsidRDefault="00EA4DD7" w:rsidP="00CA7664">
      <w:pPr>
        <w:widowControl w:val="0"/>
        <w:spacing w:before="80" w:after="80" w:line="320" w:lineRule="atLeast"/>
        <w:ind w:firstLine="561"/>
        <w:jc w:val="both"/>
        <w:rPr>
          <w:szCs w:val="28"/>
        </w:rPr>
      </w:pPr>
      <w:bookmarkStart w:id="1" w:name="bookmark3"/>
      <w:r w:rsidRPr="007F5E37">
        <w:rPr>
          <w:b/>
          <w:bCs/>
          <w:szCs w:val="28"/>
        </w:rPr>
        <w:t>Điề</w:t>
      </w:r>
      <w:r w:rsidR="00B211A1">
        <w:rPr>
          <w:b/>
          <w:bCs/>
          <w:szCs w:val="28"/>
        </w:rPr>
        <w:t>u 4</w:t>
      </w:r>
      <w:r w:rsidRPr="007F5E37">
        <w:rPr>
          <w:b/>
          <w:bCs/>
          <w:szCs w:val="28"/>
        </w:rPr>
        <w:t>.</w:t>
      </w:r>
      <w:r w:rsidRPr="007F5E37">
        <w:rPr>
          <w:szCs w:val="28"/>
        </w:rPr>
        <w:t xml:space="preserve"> </w:t>
      </w:r>
      <w:r>
        <w:rPr>
          <w:b/>
          <w:spacing w:val="2"/>
          <w:szCs w:val="28"/>
        </w:rPr>
        <w:t>Tổ chức thực hiện</w:t>
      </w:r>
    </w:p>
    <w:p w14:paraId="1A6BE2E3" w14:textId="77777777" w:rsidR="0072116D" w:rsidRDefault="00EA4DD7" w:rsidP="00CA7664">
      <w:pPr>
        <w:pStyle w:val="BodyTextIndent2"/>
        <w:widowControl w:val="0"/>
        <w:spacing w:before="120" w:after="0" w:line="340" w:lineRule="exact"/>
        <w:ind w:left="0" w:firstLine="720"/>
        <w:jc w:val="both"/>
        <w:rPr>
          <w:sz w:val="28"/>
          <w:szCs w:val="28"/>
        </w:rPr>
      </w:pPr>
      <w:r w:rsidRPr="00C37CE4">
        <w:rPr>
          <w:sz w:val="28"/>
          <w:szCs w:val="28"/>
        </w:rPr>
        <w:t xml:space="preserve">1. </w:t>
      </w:r>
      <w:r w:rsidR="0072116D">
        <w:rPr>
          <w:sz w:val="28"/>
          <w:szCs w:val="28"/>
        </w:rPr>
        <w:t>Trách nhiệm của Uỷ ban nhân dân tỉnh Thanh Hoá, Nghệ An</w:t>
      </w:r>
    </w:p>
    <w:p w14:paraId="37EBF04A" w14:textId="4A2163EF" w:rsidR="0072116D" w:rsidRDefault="0072116D" w:rsidP="00CA7664">
      <w:pPr>
        <w:pStyle w:val="BodyTextIndent2"/>
        <w:widowControl w:val="0"/>
        <w:spacing w:before="120" w:after="0" w:line="340" w:lineRule="exact"/>
        <w:ind w:left="0" w:firstLine="720"/>
        <w:jc w:val="both"/>
        <w:rPr>
          <w:sz w:val="28"/>
          <w:szCs w:val="28"/>
        </w:rPr>
      </w:pPr>
      <w:r>
        <w:rPr>
          <w:sz w:val="28"/>
          <w:szCs w:val="28"/>
        </w:rPr>
        <w:t>a) Chịu trách nhiệm trước pháp luật, trước Thủ tướng Chính phủ</w:t>
      </w:r>
      <w:r w:rsidR="007C7426">
        <w:rPr>
          <w:sz w:val="28"/>
          <w:szCs w:val="28"/>
        </w:rPr>
        <w:t xml:space="preserve"> về </w:t>
      </w:r>
      <w:r w:rsidR="00191860">
        <w:rPr>
          <w:sz w:val="28"/>
          <w:szCs w:val="28"/>
        </w:rPr>
        <w:t xml:space="preserve">việc </w:t>
      </w:r>
      <w:r w:rsidR="007C7426">
        <w:rPr>
          <w:sz w:val="28"/>
          <w:szCs w:val="28"/>
        </w:rPr>
        <w:t>thực hiện nội dung được uỷ quyền theo quy định của pháp.</w:t>
      </w:r>
    </w:p>
    <w:p w14:paraId="2674E380" w14:textId="3CA8813A" w:rsidR="006B3798" w:rsidRDefault="0072116D" w:rsidP="00CA7664">
      <w:pPr>
        <w:pStyle w:val="BodyTextIndent2"/>
        <w:widowControl w:val="0"/>
        <w:spacing w:before="120" w:after="0" w:line="340" w:lineRule="exact"/>
        <w:ind w:left="0" w:firstLine="720"/>
        <w:jc w:val="both"/>
        <w:rPr>
          <w:sz w:val="28"/>
          <w:szCs w:val="28"/>
        </w:rPr>
      </w:pPr>
      <w:r>
        <w:rPr>
          <w:sz w:val="28"/>
          <w:szCs w:val="28"/>
        </w:rPr>
        <w:t xml:space="preserve">b) </w:t>
      </w:r>
      <w:r w:rsidR="003C77C5">
        <w:rPr>
          <w:spacing w:val="2"/>
          <w:sz w:val="28"/>
          <w:szCs w:val="28"/>
        </w:rPr>
        <w:t>B</w:t>
      </w:r>
      <w:r w:rsidR="003C77C5" w:rsidRPr="00D125AB">
        <w:rPr>
          <w:spacing w:val="2"/>
          <w:sz w:val="28"/>
          <w:szCs w:val="28"/>
        </w:rPr>
        <w:t xml:space="preserve">áo cáo </w:t>
      </w:r>
      <w:r w:rsidR="003C77C5">
        <w:rPr>
          <w:spacing w:val="2"/>
          <w:sz w:val="28"/>
          <w:szCs w:val="28"/>
        </w:rPr>
        <w:t xml:space="preserve">Thủ tướng Chính phủ, Bộ Nông nghiệp và Phát triển nông thôn </w:t>
      </w:r>
      <w:r w:rsidR="003C77C5" w:rsidRPr="00D125AB">
        <w:rPr>
          <w:spacing w:val="2"/>
          <w:sz w:val="28"/>
          <w:szCs w:val="28"/>
        </w:rPr>
        <w:t xml:space="preserve">kết quả thực hiện </w:t>
      </w:r>
      <w:r w:rsidR="003C77C5">
        <w:rPr>
          <w:spacing w:val="2"/>
          <w:sz w:val="28"/>
          <w:szCs w:val="28"/>
        </w:rPr>
        <w:t>việc chuyển mục đích sử dụng rừng sau khi được Hội đồng nhân dân cấp tỉnh chấp thuận chủ trương</w:t>
      </w:r>
      <w:r w:rsidR="003C77C5" w:rsidRPr="00D125AB">
        <w:rPr>
          <w:spacing w:val="2"/>
          <w:sz w:val="28"/>
          <w:szCs w:val="28"/>
        </w:rPr>
        <w:t>.</w:t>
      </w:r>
    </w:p>
    <w:p w14:paraId="716E07D8" w14:textId="68C8479A" w:rsidR="00EA4DD7" w:rsidRPr="00C37CE4" w:rsidRDefault="006B3798" w:rsidP="00CA7664">
      <w:pPr>
        <w:pStyle w:val="BodyTextIndent2"/>
        <w:widowControl w:val="0"/>
        <w:spacing w:before="120" w:after="0" w:line="340" w:lineRule="exact"/>
        <w:ind w:left="0" w:firstLine="720"/>
        <w:jc w:val="both"/>
        <w:rPr>
          <w:sz w:val="28"/>
          <w:szCs w:val="28"/>
        </w:rPr>
      </w:pPr>
      <w:r>
        <w:rPr>
          <w:sz w:val="28"/>
          <w:szCs w:val="28"/>
        </w:rPr>
        <w:lastRenderedPageBreak/>
        <w:t xml:space="preserve">c) </w:t>
      </w:r>
      <w:r w:rsidR="008F1DC8">
        <w:rPr>
          <w:sz w:val="28"/>
          <w:szCs w:val="28"/>
        </w:rPr>
        <w:t>Hằng năm, b</w:t>
      </w:r>
      <w:r w:rsidR="00EA4DD7" w:rsidRPr="00C37CE4">
        <w:rPr>
          <w:sz w:val="28"/>
          <w:szCs w:val="28"/>
        </w:rPr>
        <w:t xml:space="preserve">áo cáo kết quả chuyển mục đích sử dụng </w:t>
      </w:r>
      <w:r w:rsidR="00EA4DD7">
        <w:rPr>
          <w:sz w:val="28"/>
          <w:szCs w:val="28"/>
        </w:rPr>
        <w:t xml:space="preserve">rừng </w:t>
      </w:r>
      <w:r w:rsidR="00EA4DD7" w:rsidRPr="00C37CE4">
        <w:rPr>
          <w:sz w:val="28"/>
          <w:szCs w:val="28"/>
        </w:rPr>
        <w:t xml:space="preserve">theo quy định tại Điều 1 Quyết này về Bộ </w:t>
      </w:r>
      <w:r w:rsidR="00EA4DD7">
        <w:rPr>
          <w:sz w:val="28"/>
          <w:szCs w:val="28"/>
        </w:rPr>
        <w:t xml:space="preserve">Nông nghiệp và Phát triển nông thôn </w:t>
      </w:r>
      <w:r w:rsidR="00EA4DD7" w:rsidRPr="00C37CE4">
        <w:rPr>
          <w:sz w:val="28"/>
          <w:szCs w:val="28"/>
        </w:rPr>
        <w:t xml:space="preserve">trước </w:t>
      </w:r>
      <w:r w:rsidR="00EA4DD7">
        <w:rPr>
          <w:sz w:val="28"/>
          <w:szCs w:val="28"/>
        </w:rPr>
        <w:t>ngày 31 tháng 12</w:t>
      </w:r>
      <w:r>
        <w:rPr>
          <w:sz w:val="28"/>
          <w:szCs w:val="28"/>
        </w:rPr>
        <w:t>; tổ chức</w:t>
      </w:r>
      <w:r w:rsidR="00EA4DD7" w:rsidRPr="00C37CE4">
        <w:rPr>
          <w:sz w:val="28"/>
          <w:szCs w:val="28"/>
        </w:rPr>
        <w:t xml:space="preserve"> sơ kết 03 năm thực hiện Quyết định</w:t>
      </w:r>
      <w:r w:rsidR="00EA4DD7">
        <w:rPr>
          <w:sz w:val="28"/>
          <w:szCs w:val="28"/>
        </w:rPr>
        <w:t xml:space="preserve"> trước ngày 31 tháng </w:t>
      </w:r>
      <w:r w:rsidR="00EA4DD7" w:rsidRPr="00C37CE4">
        <w:rPr>
          <w:sz w:val="28"/>
          <w:szCs w:val="28"/>
        </w:rPr>
        <w:t xml:space="preserve">12 năm 2024 và tổng kết thực hiện Quyết định về Bộ </w:t>
      </w:r>
      <w:r w:rsidR="00EA4DD7">
        <w:rPr>
          <w:sz w:val="28"/>
          <w:szCs w:val="28"/>
        </w:rPr>
        <w:t>Nông nghiệp và Phát triển nông thôn</w:t>
      </w:r>
      <w:r w:rsidR="00EA4DD7" w:rsidRPr="00C37CE4">
        <w:rPr>
          <w:sz w:val="28"/>
          <w:szCs w:val="28"/>
        </w:rPr>
        <w:t xml:space="preserve"> trước 31 tháng 10 năm 2026 để tổng hợp báo cáo Thủ tướng Chính phủ.</w:t>
      </w:r>
    </w:p>
    <w:p w14:paraId="598AB364" w14:textId="6D2115F1" w:rsidR="006B3798" w:rsidRPr="00B211A1" w:rsidRDefault="00EA4DD7" w:rsidP="00CA7664">
      <w:pPr>
        <w:pStyle w:val="BodyTextIndent2"/>
        <w:widowControl w:val="0"/>
        <w:spacing w:before="120" w:after="0" w:line="340" w:lineRule="exact"/>
        <w:ind w:left="0" w:firstLine="720"/>
        <w:jc w:val="both"/>
        <w:rPr>
          <w:color w:val="000000" w:themeColor="text1"/>
          <w:spacing w:val="2"/>
          <w:sz w:val="28"/>
          <w:szCs w:val="28"/>
        </w:rPr>
      </w:pPr>
      <w:r w:rsidRPr="00B211A1">
        <w:rPr>
          <w:color w:val="000000" w:themeColor="text1"/>
          <w:spacing w:val="2"/>
          <w:sz w:val="28"/>
          <w:szCs w:val="28"/>
        </w:rPr>
        <w:t xml:space="preserve">2. </w:t>
      </w:r>
      <w:r w:rsidR="0072116D" w:rsidRPr="00B211A1">
        <w:rPr>
          <w:color w:val="000000" w:themeColor="text1"/>
          <w:spacing w:val="2"/>
          <w:sz w:val="28"/>
          <w:szCs w:val="28"/>
        </w:rPr>
        <w:t>Trách nhi</w:t>
      </w:r>
      <w:r w:rsidR="006B3798" w:rsidRPr="00B211A1">
        <w:rPr>
          <w:color w:val="000000" w:themeColor="text1"/>
          <w:spacing w:val="2"/>
          <w:sz w:val="28"/>
          <w:szCs w:val="28"/>
        </w:rPr>
        <w:t>ệm</w:t>
      </w:r>
      <w:r w:rsidR="0072116D" w:rsidRPr="00B211A1">
        <w:rPr>
          <w:color w:val="000000" w:themeColor="text1"/>
          <w:spacing w:val="2"/>
          <w:sz w:val="28"/>
          <w:szCs w:val="28"/>
        </w:rPr>
        <w:t xml:space="preserve"> </w:t>
      </w:r>
      <w:r w:rsidRPr="00B211A1">
        <w:rPr>
          <w:color w:val="000000" w:themeColor="text1"/>
          <w:spacing w:val="2"/>
          <w:sz w:val="28"/>
          <w:szCs w:val="28"/>
        </w:rPr>
        <w:t>Bộ Nông nghiệp và Phát triển nông thôn</w:t>
      </w:r>
    </w:p>
    <w:p w14:paraId="372A7F94" w14:textId="544DE1A8" w:rsidR="00EA4DD7" w:rsidRPr="00B211A1" w:rsidRDefault="006B3798" w:rsidP="00CA7664">
      <w:pPr>
        <w:pStyle w:val="BodyTextIndent2"/>
        <w:widowControl w:val="0"/>
        <w:spacing w:before="120" w:after="0" w:line="340" w:lineRule="exact"/>
        <w:ind w:left="0" w:firstLine="720"/>
        <w:jc w:val="both"/>
        <w:rPr>
          <w:color w:val="000000" w:themeColor="text1"/>
          <w:spacing w:val="2"/>
          <w:sz w:val="28"/>
          <w:szCs w:val="28"/>
        </w:rPr>
      </w:pPr>
      <w:r w:rsidRPr="00B211A1">
        <w:rPr>
          <w:color w:val="000000" w:themeColor="text1"/>
          <w:spacing w:val="2"/>
          <w:sz w:val="28"/>
          <w:szCs w:val="28"/>
        </w:rPr>
        <w:t>a) C</w:t>
      </w:r>
      <w:r w:rsidR="00EA4DD7" w:rsidRPr="00B211A1">
        <w:rPr>
          <w:color w:val="000000" w:themeColor="text1"/>
          <w:spacing w:val="2"/>
          <w:sz w:val="28"/>
          <w:szCs w:val="28"/>
        </w:rPr>
        <w:t xml:space="preserve">hủ trì, phối hợp với </w:t>
      </w:r>
      <w:r w:rsidR="008F1DC8">
        <w:rPr>
          <w:color w:val="000000" w:themeColor="text1"/>
          <w:spacing w:val="2"/>
          <w:sz w:val="28"/>
          <w:szCs w:val="28"/>
        </w:rPr>
        <w:t xml:space="preserve">các Bộ, ngành </w:t>
      </w:r>
      <w:r w:rsidR="00EA4DD7" w:rsidRPr="00B211A1">
        <w:rPr>
          <w:color w:val="000000" w:themeColor="text1"/>
          <w:spacing w:val="2"/>
          <w:sz w:val="28"/>
          <w:szCs w:val="28"/>
        </w:rPr>
        <w:t xml:space="preserve">giám sát, kiểm tra việc tổ chức thực hiện Quyết định này. </w:t>
      </w:r>
    </w:p>
    <w:p w14:paraId="7CD9AA01" w14:textId="6FF0F53C" w:rsidR="006B3798" w:rsidRPr="00B211A1" w:rsidRDefault="006B3798" w:rsidP="00CA7664">
      <w:pPr>
        <w:pStyle w:val="BodyTextIndent2"/>
        <w:widowControl w:val="0"/>
        <w:spacing w:before="120" w:after="0" w:line="340" w:lineRule="exact"/>
        <w:ind w:left="0" w:firstLine="720"/>
        <w:jc w:val="both"/>
        <w:rPr>
          <w:color w:val="000000" w:themeColor="text1"/>
          <w:spacing w:val="2"/>
          <w:sz w:val="28"/>
          <w:szCs w:val="28"/>
        </w:rPr>
      </w:pPr>
      <w:r w:rsidRPr="00B211A1">
        <w:rPr>
          <w:color w:val="000000" w:themeColor="text1"/>
          <w:spacing w:val="2"/>
          <w:sz w:val="28"/>
          <w:szCs w:val="28"/>
        </w:rPr>
        <w:t xml:space="preserve">b) Báo cáo </w:t>
      </w:r>
      <w:r w:rsidR="003C77C5" w:rsidRPr="00B211A1">
        <w:rPr>
          <w:color w:val="000000" w:themeColor="text1"/>
          <w:spacing w:val="2"/>
          <w:sz w:val="28"/>
          <w:szCs w:val="28"/>
        </w:rPr>
        <w:t xml:space="preserve">Thủ tướng Chính phủ về kết quả thực hiện hằng năm, </w:t>
      </w:r>
      <w:r w:rsidR="003C77C5" w:rsidRPr="00B211A1">
        <w:rPr>
          <w:color w:val="000000" w:themeColor="text1"/>
          <w:sz w:val="28"/>
          <w:szCs w:val="28"/>
        </w:rPr>
        <w:t>sơ kết 03 năm và tổng kết thực hiện Quyết định này.</w:t>
      </w:r>
    </w:p>
    <w:p w14:paraId="746D23A2" w14:textId="2953A009" w:rsidR="0072116D" w:rsidRPr="00B211A1" w:rsidRDefault="006B3798" w:rsidP="00CA7664">
      <w:pPr>
        <w:pStyle w:val="BodyTextIndent2"/>
        <w:widowControl w:val="0"/>
        <w:spacing w:before="120" w:after="0" w:line="340" w:lineRule="exact"/>
        <w:ind w:left="0" w:firstLine="720"/>
        <w:jc w:val="both"/>
        <w:rPr>
          <w:color w:val="000000" w:themeColor="text1"/>
          <w:spacing w:val="2"/>
          <w:sz w:val="28"/>
          <w:szCs w:val="28"/>
        </w:rPr>
      </w:pPr>
      <w:r w:rsidRPr="00B211A1">
        <w:rPr>
          <w:color w:val="000000" w:themeColor="text1"/>
          <w:spacing w:val="2"/>
          <w:sz w:val="28"/>
          <w:szCs w:val="28"/>
        </w:rPr>
        <w:t xml:space="preserve">3. </w:t>
      </w:r>
      <w:r w:rsidR="003C77C5" w:rsidRPr="00B211A1">
        <w:rPr>
          <w:color w:val="000000" w:themeColor="text1"/>
          <w:spacing w:val="2"/>
          <w:sz w:val="28"/>
          <w:szCs w:val="28"/>
        </w:rPr>
        <w:t xml:space="preserve">Các Bộ, ngành </w:t>
      </w:r>
      <w:r w:rsidRPr="00B211A1">
        <w:rPr>
          <w:color w:val="000000" w:themeColor="text1"/>
          <w:spacing w:val="2"/>
          <w:sz w:val="28"/>
          <w:szCs w:val="28"/>
        </w:rPr>
        <w:t>theo chức năng nhiệm vụ</w:t>
      </w:r>
      <w:r w:rsidR="003C77C5" w:rsidRPr="00B211A1">
        <w:rPr>
          <w:color w:val="000000" w:themeColor="text1"/>
          <w:spacing w:val="2"/>
          <w:sz w:val="28"/>
          <w:szCs w:val="28"/>
        </w:rPr>
        <w:t xml:space="preserve"> được giao phối hợp</w:t>
      </w:r>
      <w:r w:rsidRPr="00B211A1">
        <w:rPr>
          <w:color w:val="000000" w:themeColor="text1"/>
          <w:spacing w:val="2"/>
          <w:sz w:val="28"/>
          <w:szCs w:val="28"/>
        </w:rPr>
        <w:t xml:space="preserve"> kiểm tra, giát</w:t>
      </w:r>
      <w:r w:rsidR="003C77C5" w:rsidRPr="00B211A1">
        <w:rPr>
          <w:color w:val="000000" w:themeColor="text1"/>
          <w:spacing w:val="2"/>
          <w:sz w:val="28"/>
          <w:szCs w:val="28"/>
        </w:rPr>
        <w:t xml:space="preserve"> sát các nội dung có liên quan trong quá trình triển khai thực hiện quyết định này.</w:t>
      </w:r>
    </w:p>
    <w:p w14:paraId="19FCFA03" w14:textId="039D7FA4" w:rsidR="00EA4DD7" w:rsidRPr="00B211A1" w:rsidRDefault="00EA4DD7" w:rsidP="00CA7664">
      <w:pPr>
        <w:pStyle w:val="BodyTextIndent2"/>
        <w:widowControl w:val="0"/>
        <w:spacing w:before="120" w:after="0" w:line="340" w:lineRule="exact"/>
        <w:ind w:left="0" w:firstLine="720"/>
        <w:jc w:val="both"/>
        <w:rPr>
          <w:color w:val="000000" w:themeColor="text1"/>
          <w:spacing w:val="2"/>
          <w:sz w:val="28"/>
          <w:szCs w:val="28"/>
        </w:rPr>
      </w:pPr>
      <w:r w:rsidRPr="00B211A1">
        <w:rPr>
          <w:b/>
          <w:bCs/>
          <w:color w:val="000000" w:themeColor="text1"/>
          <w:spacing w:val="2"/>
          <w:sz w:val="28"/>
          <w:szCs w:val="28"/>
        </w:rPr>
        <w:t xml:space="preserve">Điều </w:t>
      </w:r>
      <w:r w:rsidR="00B211A1" w:rsidRPr="00B211A1">
        <w:rPr>
          <w:b/>
          <w:bCs/>
          <w:color w:val="000000" w:themeColor="text1"/>
          <w:spacing w:val="2"/>
          <w:sz w:val="28"/>
          <w:szCs w:val="28"/>
        </w:rPr>
        <w:t>5</w:t>
      </w:r>
      <w:r w:rsidRPr="00B211A1">
        <w:rPr>
          <w:b/>
          <w:bCs/>
          <w:color w:val="000000" w:themeColor="text1"/>
          <w:spacing w:val="2"/>
          <w:sz w:val="28"/>
          <w:szCs w:val="28"/>
        </w:rPr>
        <w:t>. Điều khoản thi hành</w:t>
      </w:r>
    </w:p>
    <w:p w14:paraId="190FF7D2" w14:textId="77777777" w:rsidR="00EA4DD7" w:rsidRPr="00D125AB" w:rsidRDefault="00EA4DD7" w:rsidP="00CA7664">
      <w:pPr>
        <w:pStyle w:val="BodyTextIndent2"/>
        <w:widowControl w:val="0"/>
        <w:spacing w:before="120" w:after="0" w:line="340" w:lineRule="exact"/>
        <w:ind w:left="0" w:firstLine="709"/>
        <w:jc w:val="both"/>
        <w:rPr>
          <w:spacing w:val="2"/>
          <w:sz w:val="28"/>
          <w:szCs w:val="28"/>
        </w:rPr>
      </w:pPr>
      <w:r w:rsidRPr="00D125AB">
        <w:rPr>
          <w:spacing w:val="2"/>
          <w:sz w:val="28"/>
          <w:szCs w:val="28"/>
        </w:rPr>
        <w:t xml:space="preserve">1. Quyết định này có hiệu lực thi hành </w:t>
      </w:r>
      <w:r w:rsidRPr="00844713">
        <w:rPr>
          <w:sz w:val="28"/>
          <w:szCs w:val="28"/>
          <w:lang w:val="de-DE"/>
        </w:rPr>
        <w:t>kể từ ngày ký</w:t>
      </w:r>
      <w:r>
        <w:rPr>
          <w:sz w:val="28"/>
          <w:szCs w:val="28"/>
          <w:lang w:val="de-DE"/>
        </w:rPr>
        <w:t xml:space="preserve"> ban hành đến hết ngày 31 tháng 12 năm 2026</w:t>
      </w:r>
      <w:r w:rsidRPr="00D125AB">
        <w:rPr>
          <w:spacing w:val="2"/>
          <w:sz w:val="28"/>
          <w:szCs w:val="28"/>
        </w:rPr>
        <w:t>.</w:t>
      </w:r>
    </w:p>
    <w:p w14:paraId="14A2E5A5" w14:textId="04BFF0A7" w:rsidR="00EA4DD7" w:rsidRPr="00910F82" w:rsidRDefault="00EA4DD7" w:rsidP="00CA7664">
      <w:pPr>
        <w:widowControl w:val="0"/>
        <w:spacing w:before="80" w:after="80" w:line="320" w:lineRule="atLeast"/>
        <w:ind w:firstLine="709"/>
        <w:jc w:val="both"/>
        <w:rPr>
          <w:szCs w:val="28"/>
        </w:rPr>
      </w:pPr>
      <w:bookmarkStart w:id="2" w:name="dieu_3_name"/>
      <w:bookmarkEnd w:id="1"/>
      <w:r>
        <w:rPr>
          <w:szCs w:val="28"/>
        </w:rPr>
        <w:t xml:space="preserve">2. </w:t>
      </w:r>
      <w:r w:rsidRPr="00910F82">
        <w:rPr>
          <w:szCs w:val="28"/>
        </w:rPr>
        <w:t xml:space="preserve">Các Bộ trưởng, Thủ trưởng cơ quan ngang bộ, Thủ trưởng cơ quan thuộc Chính phủ, </w:t>
      </w:r>
      <w:r>
        <w:rPr>
          <w:szCs w:val="28"/>
        </w:rPr>
        <w:t xml:space="preserve">Hội đồng nhân dân tỉnh Thanh Hoá, Hội đồng nhân dân tỉnh Nghệ An, </w:t>
      </w:r>
      <w:r w:rsidRPr="00910F82">
        <w:rPr>
          <w:szCs w:val="28"/>
        </w:rPr>
        <w:t>Chủ tịch Ủy ban nhân dân tỉnh</w:t>
      </w:r>
      <w:r>
        <w:rPr>
          <w:szCs w:val="28"/>
        </w:rPr>
        <w:t xml:space="preserve"> Thanh Hoá, </w:t>
      </w:r>
      <w:r w:rsidRPr="00910F82">
        <w:rPr>
          <w:szCs w:val="28"/>
        </w:rPr>
        <w:t>Chủ tịch Ủy ban nhân dân tỉnh</w:t>
      </w:r>
      <w:r>
        <w:rPr>
          <w:szCs w:val="28"/>
        </w:rPr>
        <w:t xml:space="preserve"> Nghệ An</w:t>
      </w:r>
      <w:r w:rsidRPr="00910F82">
        <w:rPr>
          <w:szCs w:val="28"/>
        </w:rPr>
        <w:t xml:space="preserve"> và các cơ quan, tổ chức</w:t>
      </w:r>
      <w:r w:rsidR="006B3798">
        <w:rPr>
          <w:szCs w:val="28"/>
        </w:rPr>
        <w:t>, cá nhân</w:t>
      </w:r>
      <w:r w:rsidRPr="00910F82">
        <w:rPr>
          <w:szCs w:val="28"/>
        </w:rPr>
        <w:t xml:space="preserve"> liên quan chịu trách nhiệm thi hành Quyết định này./.</w:t>
      </w:r>
      <w:bookmarkEnd w:id="2"/>
    </w:p>
    <w:tbl>
      <w:tblPr>
        <w:tblW w:w="8789" w:type="dxa"/>
        <w:tblInd w:w="108" w:type="dxa"/>
        <w:tblCellMar>
          <w:left w:w="0" w:type="dxa"/>
          <w:right w:w="0" w:type="dxa"/>
        </w:tblCellMar>
        <w:tblLook w:val="04A0" w:firstRow="1" w:lastRow="0" w:firstColumn="1" w:lastColumn="0" w:noHBand="0" w:noVBand="1"/>
      </w:tblPr>
      <w:tblGrid>
        <w:gridCol w:w="4820"/>
        <w:gridCol w:w="3969"/>
      </w:tblGrid>
      <w:tr w:rsidR="00EA4DD7" w:rsidRPr="00994C95" w14:paraId="2CAE4402" w14:textId="77777777" w:rsidTr="00A37AE6">
        <w:trPr>
          <w:trHeight w:val="1191"/>
        </w:trPr>
        <w:tc>
          <w:tcPr>
            <w:tcW w:w="4820" w:type="dxa"/>
            <w:shd w:val="clear" w:color="auto" w:fill="auto"/>
            <w:tcMar>
              <w:top w:w="0" w:type="dxa"/>
              <w:left w:w="108" w:type="dxa"/>
              <w:bottom w:w="0" w:type="dxa"/>
              <w:right w:w="108" w:type="dxa"/>
            </w:tcMar>
          </w:tcPr>
          <w:p w14:paraId="4850A0D1" w14:textId="77777777" w:rsidR="00EA4DD7" w:rsidRPr="004C3EE4" w:rsidRDefault="00EA4DD7" w:rsidP="00CA7664">
            <w:pPr>
              <w:widowControl w:val="0"/>
              <w:spacing w:before="120"/>
              <w:ind w:left="73" w:right="-108" w:hanging="181"/>
              <w:rPr>
                <w:b/>
                <w:bCs/>
                <w:i/>
                <w:iCs/>
                <w:sz w:val="24"/>
              </w:rPr>
            </w:pPr>
            <w:r w:rsidRPr="004C3EE4">
              <w:rPr>
                <w:b/>
                <w:bCs/>
                <w:i/>
                <w:iCs/>
                <w:sz w:val="24"/>
              </w:rPr>
              <w:t>Nơi nhận:</w:t>
            </w:r>
          </w:p>
          <w:p w14:paraId="58363C67" w14:textId="77777777" w:rsidR="00EA4DD7" w:rsidRPr="00994C95" w:rsidRDefault="00EA4DD7" w:rsidP="00CA7664">
            <w:pPr>
              <w:widowControl w:val="0"/>
              <w:ind w:left="73" w:right="-108" w:hanging="181"/>
              <w:rPr>
                <w:sz w:val="22"/>
                <w:szCs w:val="22"/>
              </w:rPr>
            </w:pPr>
            <w:r w:rsidRPr="00994C95">
              <w:rPr>
                <w:sz w:val="22"/>
                <w:szCs w:val="22"/>
              </w:rPr>
              <w:t>- Ban Bí thư Trung ương Đảng;</w:t>
            </w:r>
          </w:p>
          <w:p w14:paraId="33B82A63" w14:textId="77777777" w:rsidR="00EA4DD7" w:rsidRPr="00994C95" w:rsidRDefault="00EA4DD7" w:rsidP="00CA7664">
            <w:pPr>
              <w:widowControl w:val="0"/>
              <w:ind w:left="73" w:right="-108" w:hanging="181"/>
              <w:rPr>
                <w:sz w:val="22"/>
                <w:szCs w:val="22"/>
              </w:rPr>
            </w:pPr>
            <w:r w:rsidRPr="00994C95">
              <w:rPr>
                <w:sz w:val="22"/>
                <w:szCs w:val="22"/>
              </w:rPr>
              <w:t>- Thủ tướng, các Phó Thủ tướng Chính phủ;</w:t>
            </w:r>
          </w:p>
          <w:p w14:paraId="3B3EF22E" w14:textId="77777777" w:rsidR="00EA4DD7" w:rsidRPr="00994C95" w:rsidRDefault="00EA4DD7" w:rsidP="00CA7664">
            <w:pPr>
              <w:widowControl w:val="0"/>
              <w:ind w:left="73" w:right="-108" w:hanging="181"/>
              <w:rPr>
                <w:sz w:val="22"/>
                <w:szCs w:val="22"/>
              </w:rPr>
            </w:pPr>
            <w:r w:rsidRPr="00994C95">
              <w:rPr>
                <w:sz w:val="22"/>
                <w:szCs w:val="22"/>
              </w:rPr>
              <w:t>- Các bộ, cơ quan ngang bộ, cơ quan thuộc Chính phủ;</w:t>
            </w:r>
          </w:p>
          <w:p w14:paraId="78DD9CDC" w14:textId="77777777" w:rsidR="00EA4DD7" w:rsidRDefault="00EA4DD7" w:rsidP="00CA7664">
            <w:pPr>
              <w:widowControl w:val="0"/>
              <w:ind w:left="73" w:right="-108" w:hanging="181"/>
              <w:rPr>
                <w:sz w:val="22"/>
                <w:szCs w:val="22"/>
              </w:rPr>
            </w:pPr>
            <w:r w:rsidRPr="00994C95">
              <w:rPr>
                <w:sz w:val="22"/>
                <w:szCs w:val="22"/>
              </w:rPr>
              <w:t>- HĐND</w:t>
            </w:r>
            <w:r>
              <w:rPr>
                <w:sz w:val="22"/>
                <w:szCs w:val="22"/>
              </w:rPr>
              <w:t>, UBND tỉnh Thanh Hóa, Nghệ An</w:t>
            </w:r>
            <w:r w:rsidRPr="00994C95">
              <w:rPr>
                <w:sz w:val="22"/>
                <w:szCs w:val="22"/>
              </w:rPr>
              <w:t>;</w:t>
            </w:r>
          </w:p>
          <w:p w14:paraId="68D78F11" w14:textId="77777777" w:rsidR="00EA4DD7" w:rsidRDefault="00EA4DD7" w:rsidP="00CA7664">
            <w:pPr>
              <w:widowControl w:val="0"/>
              <w:ind w:left="73" w:right="-108" w:hanging="181"/>
              <w:rPr>
                <w:sz w:val="22"/>
                <w:szCs w:val="22"/>
              </w:rPr>
            </w:pPr>
            <w:r>
              <w:rPr>
                <w:sz w:val="22"/>
                <w:szCs w:val="22"/>
              </w:rPr>
              <w:t>- Văn phòng Trung ương và các Ban của Đảng;</w:t>
            </w:r>
          </w:p>
          <w:p w14:paraId="309875CA" w14:textId="77777777" w:rsidR="00EA4DD7" w:rsidRDefault="00EA4DD7" w:rsidP="00CA7664">
            <w:pPr>
              <w:widowControl w:val="0"/>
              <w:ind w:left="73" w:right="-108" w:hanging="181"/>
              <w:rPr>
                <w:sz w:val="22"/>
                <w:szCs w:val="22"/>
              </w:rPr>
            </w:pPr>
            <w:r>
              <w:rPr>
                <w:sz w:val="22"/>
                <w:szCs w:val="22"/>
              </w:rPr>
              <w:t>- Văn phòng Tổng Bí thư;</w:t>
            </w:r>
          </w:p>
          <w:p w14:paraId="63EB8E76" w14:textId="77777777" w:rsidR="00EA4DD7" w:rsidRPr="00994C95" w:rsidRDefault="00EA4DD7" w:rsidP="00CA7664">
            <w:pPr>
              <w:widowControl w:val="0"/>
              <w:ind w:left="73" w:right="-108" w:hanging="181"/>
              <w:rPr>
                <w:sz w:val="22"/>
                <w:szCs w:val="22"/>
              </w:rPr>
            </w:pPr>
            <w:r>
              <w:rPr>
                <w:sz w:val="22"/>
                <w:szCs w:val="22"/>
              </w:rPr>
              <w:t>- Văn phòng Chủ tịch nước;</w:t>
            </w:r>
          </w:p>
          <w:p w14:paraId="5EC53B07" w14:textId="77777777" w:rsidR="00EA4DD7" w:rsidRPr="00994C95" w:rsidRDefault="00EA4DD7" w:rsidP="00CA7664">
            <w:pPr>
              <w:widowControl w:val="0"/>
              <w:ind w:left="73" w:right="-108" w:hanging="181"/>
              <w:rPr>
                <w:sz w:val="22"/>
                <w:szCs w:val="22"/>
              </w:rPr>
            </w:pPr>
            <w:r w:rsidRPr="00994C95">
              <w:rPr>
                <w:sz w:val="22"/>
                <w:szCs w:val="22"/>
              </w:rPr>
              <w:t xml:space="preserve">- Hội đồng Dân tộc và các </w:t>
            </w:r>
            <w:r w:rsidRPr="00994C95">
              <w:rPr>
                <w:sz w:val="22"/>
                <w:szCs w:val="22"/>
                <w:shd w:val="solid" w:color="FFFFFF" w:fill="auto"/>
              </w:rPr>
              <w:t>Ủy ban</w:t>
            </w:r>
            <w:r w:rsidRPr="00994C95">
              <w:rPr>
                <w:sz w:val="22"/>
                <w:szCs w:val="22"/>
              </w:rPr>
              <w:t xml:space="preserve"> của Quốc hội;</w:t>
            </w:r>
          </w:p>
          <w:p w14:paraId="4F76668A" w14:textId="77777777" w:rsidR="00EA4DD7" w:rsidRDefault="00EA4DD7" w:rsidP="00CA7664">
            <w:pPr>
              <w:widowControl w:val="0"/>
              <w:ind w:left="73" w:right="-108" w:hanging="181"/>
              <w:rPr>
                <w:sz w:val="22"/>
                <w:szCs w:val="22"/>
              </w:rPr>
            </w:pPr>
            <w:r w:rsidRPr="00994C95">
              <w:rPr>
                <w:sz w:val="22"/>
                <w:szCs w:val="22"/>
              </w:rPr>
              <w:t>- Văn phòng Quốc hội;</w:t>
            </w:r>
          </w:p>
          <w:p w14:paraId="0C48A4A9" w14:textId="77777777" w:rsidR="00EA4DD7" w:rsidRDefault="00EA4DD7" w:rsidP="00CA7664">
            <w:pPr>
              <w:widowControl w:val="0"/>
              <w:ind w:left="73" w:right="-108" w:hanging="181"/>
              <w:rPr>
                <w:sz w:val="22"/>
                <w:szCs w:val="22"/>
              </w:rPr>
            </w:pPr>
            <w:r>
              <w:rPr>
                <w:sz w:val="22"/>
                <w:szCs w:val="22"/>
              </w:rPr>
              <w:t>- Tòa án nhân dân tối cao;</w:t>
            </w:r>
          </w:p>
          <w:p w14:paraId="59E1A9C8" w14:textId="77777777" w:rsidR="00EA4DD7" w:rsidRDefault="00EA4DD7" w:rsidP="00CA7664">
            <w:pPr>
              <w:widowControl w:val="0"/>
              <w:ind w:left="73" w:right="-108" w:hanging="181"/>
              <w:rPr>
                <w:sz w:val="22"/>
                <w:szCs w:val="22"/>
              </w:rPr>
            </w:pPr>
            <w:r>
              <w:rPr>
                <w:sz w:val="22"/>
                <w:szCs w:val="22"/>
              </w:rPr>
              <w:t>- Viện kiểm sát nhân dân tối cao;</w:t>
            </w:r>
          </w:p>
          <w:p w14:paraId="413B34F3" w14:textId="77777777" w:rsidR="00EA4DD7" w:rsidRDefault="00EA4DD7" w:rsidP="00CA7664">
            <w:pPr>
              <w:widowControl w:val="0"/>
              <w:ind w:left="73" w:right="-108" w:hanging="181"/>
              <w:rPr>
                <w:sz w:val="22"/>
                <w:szCs w:val="22"/>
              </w:rPr>
            </w:pPr>
            <w:r>
              <w:rPr>
                <w:sz w:val="22"/>
                <w:szCs w:val="22"/>
              </w:rPr>
              <w:t>- Kiểm toán Nhà nước;</w:t>
            </w:r>
          </w:p>
          <w:p w14:paraId="176B1935" w14:textId="77777777" w:rsidR="00EA4DD7" w:rsidRDefault="00EA4DD7" w:rsidP="00CA7664">
            <w:pPr>
              <w:widowControl w:val="0"/>
              <w:ind w:left="73" w:right="-108" w:hanging="181"/>
              <w:rPr>
                <w:sz w:val="22"/>
                <w:szCs w:val="22"/>
              </w:rPr>
            </w:pPr>
            <w:r>
              <w:rPr>
                <w:sz w:val="22"/>
                <w:szCs w:val="22"/>
              </w:rPr>
              <w:t>- Ủy ban giám sát Tài chính quốc gia;</w:t>
            </w:r>
          </w:p>
          <w:p w14:paraId="02B2D24F" w14:textId="77777777" w:rsidR="00EA4DD7" w:rsidRPr="00994C95" w:rsidRDefault="00EA4DD7" w:rsidP="00CA7664">
            <w:pPr>
              <w:widowControl w:val="0"/>
              <w:ind w:left="73" w:right="-108" w:hanging="181"/>
              <w:rPr>
                <w:sz w:val="22"/>
                <w:szCs w:val="22"/>
              </w:rPr>
            </w:pPr>
            <w:r>
              <w:rPr>
                <w:sz w:val="22"/>
                <w:szCs w:val="22"/>
              </w:rPr>
              <w:t>- Ủy ban Trung ương Mặt trận Tổ quốc Việt Nam;</w:t>
            </w:r>
          </w:p>
          <w:p w14:paraId="213AE230" w14:textId="77777777" w:rsidR="00EA4DD7" w:rsidRPr="00994C95" w:rsidRDefault="00EA4DD7" w:rsidP="00CA7664">
            <w:pPr>
              <w:widowControl w:val="0"/>
              <w:ind w:left="73" w:hanging="181"/>
              <w:jc w:val="both"/>
              <w:rPr>
                <w:spacing w:val="2"/>
                <w:sz w:val="22"/>
                <w:szCs w:val="22"/>
              </w:rPr>
            </w:pPr>
            <w:r w:rsidRPr="00994C95">
              <w:rPr>
                <w:spacing w:val="-6"/>
                <w:sz w:val="22"/>
                <w:szCs w:val="22"/>
              </w:rPr>
              <w:t xml:space="preserve">- </w:t>
            </w:r>
            <w:r w:rsidRPr="00994C95">
              <w:rPr>
                <w:spacing w:val="2"/>
                <w:sz w:val="22"/>
                <w:szCs w:val="22"/>
              </w:rPr>
              <w:t>VPCP: BTCN, các PCN, Trợ lý TTg, các PTTg,</w:t>
            </w:r>
          </w:p>
          <w:p w14:paraId="6B041BD6" w14:textId="77777777" w:rsidR="00EA4DD7" w:rsidRPr="00994C95" w:rsidRDefault="00EA4DD7" w:rsidP="00CA7664">
            <w:pPr>
              <w:widowControl w:val="0"/>
              <w:ind w:left="73" w:hanging="181"/>
              <w:jc w:val="both"/>
              <w:rPr>
                <w:spacing w:val="-4"/>
                <w:sz w:val="22"/>
                <w:szCs w:val="22"/>
              </w:rPr>
            </w:pPr>
            <w:r w:rsidRPr="00994C95">
              <w:rPr>
                <w:spacing w:val="-4"/>
                <w:sz w:val="22"/>
                <w:szCs w:val="22"/>
              </w:rPr>
              <w:t xml:space="preserve">   TGĐ Cổng TTĐT</w:t>
            </w:r>
            <w:r w:rsidRPr="00994C95">
              <w:rPr>
                <w:spacing w:val="2"/>
                <w:sz w:val="22"/>
                <w:szCs w:val="22"/>
              </w:rPr>
              <w:t xml:space="preserve">, </w:t>
            </w:r>
            <w:r w:rsidRPr="00994C95">
              <w:rPr>
                <w:spacing w:val="-4"/>
                <w:sz w:val="22"/>
                <w:szCs w:val="22"/>
              </w:rPr>
              <w:t>các Vụ, Cục</w:t>
            </w:r>
            <w:r>
              <w:rPr>
                <w:spacing w:val="-4"/>
                <w:sz w:val="22"/>
                <w:szCs w:val="22"/>
              </w:rPr>
              <w:t>, đơn vị trực thuộc, Công báo</w:t>
            </w:r>
            <w:r w:rsidRPr="00994C95">
              <w:rPr>
                <w:spacing w:val="-4"/>
                <w:sz w:val="22"/>
                <w:szCs w:val="22"/>
              </w:rPr>
              <w:t>;</w:t>
            </w:r>
          </w:p>
          <w:p w14:paraId="17ACCDC4" w14:textId="77777777" w:rsidR="00EA4DD7" w:rsidRPr="00994C95" w:rsidRDefault="00EA4DD7" w:rsidP="00CA7664">
            <w:pPr>
              <w:widowControl w:val="0"/>
              <w:ind w:left="73" w:right="-108" w:hanging="181"/>
            </w:pPr>
            <w:r>
              <w:rPr>
                <w:sz w:val="22"/>
                <w:szCs w:val="22"/>
              </w:rPr>
              <w:t>- Lưu: VT, NN (3b</w:t>
            </w:r>
            <w:r w:rsidRPr="00994C95">
              <w:rPr>
                <w:sz w:val="22"/>
                <w:szCs w:val="22"/>
              </w:rPr>
              <w:t>).</w:t>
            </w:r>
          </w:p>
        </w:tc>
        <w:tc>
          <w:tcPr>
            <w:tcW w:w="3969" w:type="dxa"/>
            <w:shd w:val="clear" w:color="auto" w:fill="auto"/>
            <w:tcMar>
              <w:top w:w="0" w:type="dxa"/>
              <w:left w:w="108" w:type="dxa"/>
              <w:bottom w:w="0" w:type="dxa"/>
              <w:right w:w="108" w:type="dxa"/>
            </w:tcMar>
          </w:tcPr>
          <w:p w14:paraId="5B5E96C4" w14:textId="77777777" w:rsidR="00EA4DD7" w:rsidRPr="00994C95" w:rsidRDefault="00EA4DD7" w:rsidP="00CA7664">
            <w:pPr>
              <w:widowControl w:val="0"/>
              <w:spacing w:before="120"/>
              <w:jc w:val="center"/>
              <w:rPr>
                <w:b/>
                <w:bCs/>
                <w:szCs w:val="28"/>
              </w:rPr>
            </w:pPr>
            <w:r w:rsidRPr="00994C95">
              <w:rPr>
                <w:b/>
                <w:bCs/>
                <w:szCs w:val="28"/>
              </w:rPr>
              <w:t>THỦ TƯỚNG</w:t>
            </w:r>
          </w:p>
          <w:p w14:paraId="56CAD0BE" w14:textId="77777777" w:rsidR="00EA4DD7" w:rsidRPr="00994C95" w:rsidRDefault="00EA4DD7" w:rsidP="00CA7664">
            <w:pPr>
              <w:widowControl w:val="0"/>
              <w:jc w:val="center"/>
              <w:rPr>
                <w:b/>
                <w:bCs/>
                <w:szCs w:val="28"/>
              </w:rPr>
            </w:pPr>
            <w:r w:rsidRPr="00994C95">
              <w:rPr>
                <w:b/>
                <w:bCs/>
                <w:szCs w:val="28"/>
              </w:rPr>
              <w:br/>
            </w:r>
            <w:r w:rsidRPr="00994C95">
              <w:rPr>
                <w:b/>
                <w:bCs/>
                <w:szCs w:val="28"/>
              </w:rPr>
              <w:br/>
            </w:r>
          </w:p>
          <w:p w14:paraId="3DB6E64F" w14:textId="77777777" w:rsidR="00EA4DD7" w:rsidRPr="00994C95" w:rsidRDefault="00EA4DD7" w:rsidP="00CA7664">
            <w:pPr>
              <w:widowControl w:val="0"/>
              <w:spacing w:before="120"/>
              <w:jc w:val="center"/>
              <w:rPr>
                <w:szCs w:val="28"/>
              </w:rPr>
            </w:pPr>
            <w:r w:rsidRPr="00994C95">
              <w:rPr>
                <w:b/>
                <w:bCs/>
                <w:szCs w:val="28"/>
              </w:rPr>
              <w:br/>
            </w:r>
            <w:r w:rsidRPr="00994C95">
              <w:rPr>
                <w:b/>
                <w:bCs/>
                <w:szCs w:val="28"/>
              </w:rPr>
              <w:br/>
            </w:r>
            <w:r w:rsidRPr="00994C95">
              <w:rPr>
                <w:b/>
                <w:bCs/>
                <w:szCs w:val="28"/>
              </w:rPr>
              <w:br/>
            </w:r>
            <w:r>
              <w:rPr>
                <w:b/>
                <w:bCs/>
                <w:szCs w:val="28"/>
              </w:rPr>
              <w:t>Phạm Minh Chính</w:t>
            </w:r>
          </w:p>
        </w:tc>
      </w:tr>
    </w:tbl>
    <w:p w14:paraId="4AF12319" w14:textId="77777777" w:rsidR="002D1B4F" w:rsidRDefault="002D1B4F" w:rsidP="00CA7664">
      <w:pPr>
        <w:widowControl w:val="0"/>
      </w:pPr>
      <w:bookmarkStart w:id="3" w:name="_GoBack"/>
      <w:bookmarkEnd w:id="3"/>
    </w:p>
    <w:sectPr w:rsidR="002D1B4F" w:rsidSect="00DB26A1">
      <w:headerReference w:type="default" r:id="rId6"/>
      <w:footerReference w:type="default" r:id="rId7"/>
      <w:pgSz w:w="11907" w:h="16840" w:code="9"/>
      <w:pgMar w:top="1134" w:right="1134" w:bottom="1134" w:left="1985" w:header="720" w:footer="55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9FB52" w14:textId="77777777" w:rsidR="00AF0EC0" w:rsidRDefault="00AF0EC0">
      <w:r>
        <w:separator/>
      </w:r>
    </w:p>
  </w:endnote>
  <w:endnote w:type="continuationSeparator" w:id="0">
    <w:p w14:paraId="00773994" w14:textId="77777777" w:rsidR="00AF0EC0" w:rsidRDefault="00AF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8E53" w14:textId="77777777" w:rsidR="00DB26A1" w:rsidRPr="00CF20B7" w:rsidRDefault="00AF0EC0" w:rsidP="00DB26A1">
    <w:pPr>
      <w:pStyle w:val="Footer"/>
      <w:tabs>
        <w:tab w:val="left" w:pos="10080"/>
      </w:tabs>
      <w:jc w:val="right"/>
      <w:rPr>
        <w:lang w:val="en-US"/>
      </w:rPr>
    </w:pPr>
  </w:p>
  <w:p w14:paraId="4058FB31" w14:textId="77777777" w:rsidR="00DB26A1" w:rsidRDefault="00AF0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92D72" w14:textId="77777777" w:rsidR="00AF0EC0" w:rsidRDefault="00AF0EC0">
      <w:r>
        <w:separator/>
      </w:r>
    </w:p>
  </w:footnote>
  <w:footnote w:type="continuationSeparator" w:id="0">
    <w:p w14:paraId="3B53FFB5" w14:textId="77777777" w:rsidR="00AF0EC0" w:rsidRDefault="00AF0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5A86" w14:textId="77777777" w:rsidR="00DB26A1" w:rsidRDefault="008F1DC8">
    <w:pPr>
      <w:pStyle w:val="Header"/>
      <w:jc w:val="center"/>
      <w:rPr>
        <w:noProof/>
        <w:lang w:val="en-US"/>
      </w:rPr>
    </w:pPr>
    <w:r>
      <w:fldChar w:fldCharType="begin"/>
    </w:r>
    <w:r>
      <w:instrText xml:space="preserve"> PAGE   \* MERGEFORMAT </w:instrText>
    </w:r>
    <w:r>
      <w:fldChar w:fldCharType="separate"/>
    </w:r>
    <w:r w:rsidR="00CA7664">
      <w:rPr>
        <w:noProof/>
      </w:rPr>
      <w:t>2</w:t>
    </w:r>
    <w:r>
      <w:rPr>
        <w:noProof/>
      </w:rPr>
      <w:fldChar w:fldCharType="end"/>
    </w:r>
  </w:p>
  <w:p w14:paraId="5888A96F" w14:textId="77777777" w:rsidR="00DB26A1" w:rsidRPr="001D3244" w:rsidRDefault="00AF0EC0">
    <w:pPr>
      <w:pStyle w:val="Header"/>
      <w:jc w:val="center"/>
      <w:rPr>
        <w:lang w:val="en-US"/>
      </w:rPr>
    </w:pPr>
  </w:p>
  <w:p w14:paraId="0DD8F09A" w14:textId="77777777" w:rsidR="00DB26A1" w:rsidRDefault="00AF0E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D7"/>
    <w:rsid w:val="000955C8"/>
    <w:rsid w:val="001227F3"/>
    <w:rsid w:val="00191860"/>
    <w:rsid w:val="002D1B4F"/>
    <w:rsid w:val="003424E0"/>
    <w:rsid w:val="003C77C5"/>
    <w:rsid w:val="006B3798"/>
    <w:rsid w:val="0072116D"/>
    <w:rsid w:val="007C7426"/>
    <w:rsid w:val="007D70E2"/>
    <w:rsid w:val="008F1DC8"/>
    <w:rsid w:val="009F2EE0"/>
    <w:rsid w:val="00A27FC3"/>
    <w:rsid w:val="00AF0EC0"/>
    <w:rsid w:val="00B211A1"/>
    <w:rsid w:val="00C059EF"/>
    <w:rsid w:val="00C168BD"/>
    <w:rsid w:val="00CA7664"/>
    <w:rsid w:val="00EA4DD7"/>
    <w:rsid w:val="00FE4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39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D7"/>
    <w:pPr>
      <w:tabs>
        <w:tab w:val="center" w:pos="4680"/>
        <w:tab w:val="right" w:pos="9360"/>
      </w:tabs>
    </w:pPr>
    <w:rPr>
      <w:rFonts w:eastAsia="Times New Roman" w:cs="Times New Roman"/>
      <w:sz w:val="24"/>
      <w:lang w:val="x-none" w:eastAsia="x-none"/>
    </w:rPr>
  </w:style>
  <w:style w:type="character" w:customStyle="1" w:styleId="HeaderChar">
    <w:name w:val="Header Char"/>
    <w:basedOn w:val="DefaultParagraphFont"/>
    <w:link w:val="Header"/>
    <w:uiPriority w:val="99"/>
    <w:rsid w:val="00EA4DD7"/>
    <w:rPr>
      <w:rFonts w:eastAsia="Times New Roman" w:cs="Times New Roman"/>
      <w:sz w:val="24"/>
      <w:lang w:val="x-none" w:eastAsia="x-none"/>
    </w:rPr>
  </w:style>
  <w:style w:type="paragraph" w:styleId="Footer">
    <w:name w:val="footer"/>
    <w:basedOn w:val="Normal"/>
    <w:link w:val="FooterChar"/>
    <w:uiPriority w:val="99"/>
    <w:unhideWhenUsed/>
    <w:rsid w:val="00EA4DD7"/>
    <w:pPr>
      <w:tabs>
        <w:tab w:val="center" w:pos="4680"/>
        <w:tab w:val="right" w:pos="9360"/>
      </w:tabs>
    </w:pPr>
    <w:rPr>
      <w:rFonts w:eastAsia="Times New Roman" w:cs="Times New Roman"/>
      <w:sz w:val="24"/>
      <w:lang w:val="x-none" w:eastAsia="x-none"/>
    </w:rPr>
  </w:style>
  <w:style w:type="character" w:customStyle="1" w:styleId="FooterChar">
    <w:name w:val="Footer Char"/>
    <w:basedOn w:val="DefaultParagraphFont"/>
    <w:link w:val="Footer"/>
    <w:uiPriority w:val="99"/>
    <w:rsid w:val="00EA4DD7"/>
    <w:rPr>
      <w:rFonts w:eastAsia="Times New Roman" w:cs="Times New Roman"/>
      <w:sz w:val="24"/>
      <w:lang w:val="x-none" w:eastAsia="x-none"/>
    </w:rPr>
  </w:style>
  <w:style w:type="paragraph" w:styleId="BodyTextIndent2">
    <w:name w:val="Body Text Indent 2"/>
    <w:basedOn w:val="Normal"/>
    <w:link w:val="BodyTextIndent2Char"/>
    <w:rsid w:val="00EA4DD7"/>
    <w:pPr>
      <w:spacing w:after="120" w:line="480" w:lineRule="auto"/>
      <w:ind w:left="360"/>
    </w:pPr>
    <w:rPr>
      <w:rFonts w:eastAsia="Times New Roman" w:cs="Times New Roman"/>
      <w:sz w:val="24"/>
    </w:rPr>
  </w:style>
  <w:style w:type="character" w:customStyle="1" w:styleId="BodyTextIndent2Char">
    <w:name w:val="Body Text Indent 2 Char"/>
    <w:basedOn w:val="DefaultParagraphFont"/>
    <w:link w:val="BodyTextIndent2"/>
    <w:rsid w:val="00EA4DD7"/>
    <w:rPr>
      <w:rFonts w:eastAsia="Times New Roman" w:cs="Times New Roman"/>
      <w:sz w:val="24"/>
    </w:rPr>
  </w:style>
  <w:style w:type="paragraph" w:styleId="ListParagraph">
    <w:name w:val="List Paragraph"/>
    <w:basedOn w:val="Normal"/>
    <w:uiPriority w:val="34"/>
    <w:qFormat/>
    <w:rsid w:val="007C7426"/>
    <w:pPr>
      <w:ind w:left="720"/>
      <w:contextualSpacing/>
    </w:pPr>
  </w:style>
  <w:style w:type="paragraph" w:styleId="BalloonText">
    <w:name w:val="Balloon Text"/>
    <w:basedOn w:val="Normal"/>
    <w:link w:val="BalloonTextChar"/>
    <w:uiPriority w:val="99"/>
    <w:semiHidden/>
    <w:unhideWhenUsed/>
    <w:rsid w:val="00CA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TMLONG</cp:lastModifiedBy>
  <cp:revision>2</cp:revision>
  <cp:lastPrinted>2022-01-06T04:17:00Z</cp:lastPrinted>
  <dcterms:created xsi:type="dcterms:W3CDTF">2022-01-06T04:23:00Z</dcterms:created>
  <dcterms:modified xsi:type="dcterms:W3CDTF">2022-01-06T04:23:00Z</dcterms:modified>
</cp:coreProperties>
</file>